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A/1702/2018 vom 13. Dezember 2017</w:t>
      </w:r>
    </w:p>
    <w:p>
      <w:r>
        <w:t>GE Cour de justice, 2017-12-13, FR</w:t>
      </w:r>
    </w:p>
    <w:p>
      <w:r>
        <w:rPr>
          <w:b/>
        </w:rPr>
        <w:t xml:space="preserve">Quelle: </w:t>
      </w:r>
      <w:r>
        <w:t>https://mcp.opencaselaw.ch/entscheid/ge_gerichte_A_1702_2018</w:t>
      </w:r>
    </w:p>
    <w:p>
      <w:r>
        <w:t>FR: GE_GERICHTE A/1702/2018 du 13 décembre 2017</w:t>
      </w:r>
    </w:p>
    <w:p>
      <w:r>
        <w:t>IT: GE_GERICHTE A/1702/2018 del 13 dicembre 2017</w:t>
      </w:r>
    </w:p>
    <w:p>
      <w:pPr>
        <w:pStyle w:val="Heading2"/>
      </w:pPr>
      <w:r>
        <w:t>Volltext</w:t>
      </w:r>
    </w:p>
    <w:p>
      <w:r>
        <w:t>Genève Cour de justice (Cour de droit public) Chambre des assurances sociales 20.05.2019 A/1702/2018</w:t>
      </w:r>
    </w:p>
    <w:p>
      <w:r>
        <w:t>A/1702/2018 ATAS/441/2019 du 20.05.2019 ( LCA ) rÉpublique et canton de genÈve POUVOIR JUDICIAIRE A/1702/2018 ATAS/441/2019 COUR DE JUSTICE Chambre des assurances sociales Arrêt incident du 20 mai 2019 4 ème Chambre En la cause Madame A______, domiciliée à THONEX, comparant avec élection de domicile en l'étude de Maître Dominique BAVAREL demanderesse contre SWICA ASSURANCE-MALADIE SA, sise Römerstrasse 38, WINTERTHUR défenderesse Vu la demande en révision du 18 mai 2019 de Madame A______ (ci-après la demanderesse) contre Swica assurance-maladie SA (ci-après Swica) concernant l'arrêt du 13 décembre 2017 de la chambre des assurances sociales de la Cour de justice ( ATAS/1137/2017 ) ; Vu la réponse de Swica du 20 juillet 2018 ; Vu la réplique de la demanderesse du 31 août 2018 ; Vu la procédure A/1178/2017 opposant la demanderesse à l'office de l'assurance-invalidité du canton de Genève pendante par-devant la chambre de céans, dans laquelle une nouvelle expertise a été ordonnée ; 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sa compétence pour juger du cas d'espèce est ainsi établie ; Qu'aux termes de l'art. 126 al. 1 CPC, le tribunal peut ordonner la suspension de la procédure si des motifs d'opportunité le commandent. La procédure peut notamment être suspendue lorsque la décision dépend du sort d'un autre procès ; Qu'en l'espèce, il se justifie de suspendre la présente procédure jusqu'à droit connu dans la procédure A/1178/2017 pendante par-devant la chambre de céans, l'expertise ordonnée et la décision rendue dans le cadre de cette dernière étant susceptibles d'avoir une incidence sur la présente procédure ; Que pour le surplus, la procédure est gratuite (art. 114 let. e CPC). PAR CES MOTIFS, LA CHAMBRE DES ASSURANCES SOCIALES : Statuant sur incident 1.        Suspend l'instance en application de l'art. 126 CPC, jusqu'à droit connu dans la procédure A/1178/2017.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Isabelle CASTILLO La présidente Catherine TAPPONNIER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