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A/1700/2023 vom 8. März 2024</w:t>
      </w:r>
    </w:p>
    <w:p>
      <w:r>
        <w:t>GE Cour de justice, 2024-03-08, FR</w:t>
      </w:r>
    </w:p>
    <w:p>
      <w:r>
        <w:rPr>
          <w:b/>
        </w:rPr>
        <w:t xml:space="preserve">Quelle: </w:t>
      </w:r>
      <w:r>
        <w:t>https://mcp.opencaselaw.ch/entscheid/ge_gerichte_A_1700_2023</w:t>
      </w:r>
    </w:p>
    <w:p>
      <w:r>
        <w:t>FR: GE_GERICHTE A/1700/2023 du 8 mars 2024</w:t>
      </w:r>
    </w:p>
    <w:p>
      <w:r>
        <w:t>IT: GE_GERICHTE A/1700/2023 del 8 marzo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1 er janvier 2021 est entrée en vigueur la modification du 21 juin 2019 de la LPGA. Dans la mesure où le recours (du 16 mai 2023) a été interjeté postérieurement au 1 er janvier 2021, il est soumis au nouveau droit (cf. art. 82 a LPGA a contrario ).</w:t>
      </w:r>
    </w:p>
    <w:p>
      <w:r>
        <w:rPr>
          <w:b/>
        </w:rPr>
        <w:t>E. 1.3</w:t>
      </w:r>
    </w:p>
    <w:p>
      <w:r>
        <w:t>Le délai de recours est de trente jours (art. 60 al. 1 LPGA ; art. 62 al. 1 let. a de la loi sur la procédure administrative du 12 septembre 1985 [LPA - E 5 10]). Interjeté dans la forme (art. 61 let. b LPGA) et le délai prévus par la loi, compte tenu de la suspension des délais du 7 e jour avant Pâques au 7 e jour après Pâques inclusivement (art. 38 al. 4 let. a LPGA et art. 89C let. a LPA), le recours est recevable.</w:t>
      </w:r>
    </w:p>
    <w:p>
      <w:r>
        <w:rPr>
          <w:b/>
        </w:rPr>
        <w:t>E. 2</w:t>
      </w:r>
    </w:p>
    <w:p>
      <w:r>
        <w:t>Le litige porte sur le droit du recourant aux prestations de l'assurance-accidents pour la période postérieure au 8 avril 2022, singulièrement sur l'existence d'un lien de causalité entre les troubles invoqués (genoux et lombalgies) et l'accident du 28 août 2014.</w:t>
      </w:r>
    </w:p>
    <w:p>
      <w:r>
        <w:rPr>
          <w:b/>
        </w:rPr>
        <w:t>E. 3.1</w:t>
      </w:r>
    </w:p>
    <w:p>
      <w:r>
        <w:t>Le 1 er janvier 2017 est entrée en vigueur la modification du 25 septembre 2015 de la LAA. Dans la mesure où l'accident est survenu avant cette date (le 28 août 2014),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3.2</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3.3.1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3.3.2</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3.3.3</w:t>
      </w:r>
    </w:p>
    <w:p>
      <w:r>
        <w:t>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laquelle doit être établie par des moyens radiologiques et se distinguer d’une évolution ordinaire liée à l’âge (arrêt du Tribunal fédéral 8C_50/2023 du 14 septembre 2023 consid. 7.1 et les références).</w:t>
      </w:r>
    </w:p>
    <w:p>
      <w:r>
        <w:rPr>
          <w:b/>
        </w:rPr>
        <w:t>E. 3.3.4</w:t>
      </w:r>
    </w:p>
    <w:p>
      <w:r>
        <w:t>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3.3.5</w:t>
      </w:r>
    </w:p>
    <w:p>
      <w:r>
        <w:t>Les lésions énumérées à l’art. 9 al. 2 de l'ordonnance sur l'assurance-accidents du 20 décembre 1982 (OLAA - RS 832.202) ‒ dont notamment les fractures (let. a) et les déchirures de tendons (let. f) ‒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(arrêts du Tribunal fédéral 8C_110/2016 du 16 novembre 2016 consid. 6.2 ; U.162/2006 du 10 avril 2004 consid. 4.2). Les fractures au sens de l'art. 9 al. 2 let. a OLAA visent les fractures des os, à l'exclusion des fractures de dents (Jean-Maurice Frésard / Margit Moser-Szeless, L’assurance-accidents obligatoire (avec des aspects de l’assurance militaire) in Schweizerisches Bundesverwaltungsrecht Soziale Sicherheit, 2016, n. 141). Les élongations du tendon ne sont pas des « déchirures du tendon » au sens de l'art. 9 al. 2 let. f OLAA aussi longtemps qu'une rupture partielle du tendon n'est pas établie (FRÉSARD / MOSER-SZELESS, ibidem ; ATF 114 V 298 consid. 5).</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U.351/04 du 14 février 2006 consid. 3.2).</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4.3.3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Le recourant présentait-il un état maladif antérieur au 28 août 2014 ? Dans l'affirmative, lequel ?</w:t>
      </w:r>
    </w:p>
    <w:p>
      <w:r>
        <w:rPr>
          <w:b/>
        </w:rPr>
        <w:t>E. 5.2</w:t>
      </w:r>
    </w:p>
    <w:p>
      <w:r>
        <w:t>Quels ont été les diagnostics révélés suite à l’accident du 28 août 2014 ? Lesquels correspondent à une lésion corporelle figurant à l’art. 9 al. 2 aOLAA (soit les fractures, les déboîtements d'articulations, les déchirures du ménisque, les déchirures de muscles, les élongations de muscles, les déchirures de tendons, les lésions de ligaments, les lésions du tympan) ?</w:t>
      </w:r>
    </w:p>
    <w:p>
      <w:r>
        <w:rPr>
          <w:b/>
        </w:rPr>
        <w:t>E. 5.3</w:t>
      </w:r>
    </w:p>
    <w:p>
      <w:r>
        <w:t>S’agissant des diagnostics correspondant à une lésion corporelle figurant à l’art. 9 al. 2 aOLAA :</w:t>
      </w:r>
    </w:p>
    <w:p>
      <w:r>
        <w:rPr>
          <w:b/>
        </w:rPr>
        <w:t>E. 5.3.1</w:t>
      </w:r>
    </w:p>
    <w:p>
      <w:r>
        <w:t>Ces atteintes sont-elles d’origine exclusivement dégénérative ? Veuillez motiver.</w:t>
      </w:r>
    </w:p>
    <w:p>
      <w:r>
        <w:rPr>
          <w:b/>
        </w:rPr>
        <w:t>E. 5.3.2</w:t>
      </w:r>
    </w:p>
    <w:p>
      <w:r>
        <w:t>L’accident du 28 août 2014 a-t-il joué un rôle, même partiel, dans la survenance de ces atteintes ? En d’autres termes, l’accident est-il une cause possible, au moins à titre partiel, de ces atteintes ?</w:t>
      </w:r>
    </w:p>
    <w:p>
      <w:r>
        <w:rPr>
          <w:b/>
        </w:rPr>
        <w:t>E. 5.3.3</w:t>
      </w:r>
    </w:p>
    <w:p>
      <w:r>
        <w:t>En particulier, l’intervention du genou gauche le 19 février 2015 était-elle nécessitée par l’accident précité, par une pathologie maladive ou par un état pré-existant à l’accident ? Dans quelle mesure ?</w:t>
      </w:r>
    </w:p>
    <w:p>
      <w:r>
        <w:rPr>
          <w:b/>
        </w:rPr>
        <w:t>E. 5.3.4</w:t>
      </w:r>
    </w:p>
    <w:p>
      <w:r>
        <w:t>L’intervention du genou gauche le 14 juin 2017 était-elle nécessitée par l’accident du 28 août 2014, par une pathologie maladive ou par un état pré-existant à l’accident ? Dans quelle mesure ?</w:t>
      </w:r>
    </w:p>
    <w:p>
      <w:r>
        <w:rPr>
          <w:b/>
        </w:rPr>
        <w:t>E. 5.3.5</w:t>
      </w:r>
    </w:p>
    <w:p>
      <w:r>
        <w:t>Le cas échéant, quels sont les facteurs étrangers à l’accident du 28 août 2014 qui ont contribué, avec ledit accident, à la survenance de ces atteintes ?</w:t>
      </w:r>
    </w:p>
    <w:p>
      <w:r>
        <w:rPr>
          <w:b/>
        </w:rPr>
        <w:t>E. 5.3.6</w:t>
      </w:r>
    </w:p>
    <w:p>
      <w:r>
        <w:t>L’accident du 28 août 2014 a-t-il déclenché un processus qui serait de toute façon survenu sans cet événement ?</w:t>
      </w:r>
    </w:p>
    <w:p>
      <w:r>
        <w:rPr>
          <w:b/>
        </w:rPr>
        <w:t>E. 5.3.7</w:t>
      </w:r>
    </w:p>
    <w:p>
      <w:r>
        <w:t>À partir de quand les facteurs étrangers sont-ils manifestement devenus, ou deviennent-ils manifestement les seules causes influant sur l’état de santé de l'assuré (« statu quo sine » - moment où l’état de santé de la personne expertisée est similaire à celui qui serait survenu tôt ou tard, même sans l’accident par suite d’un développement ordinaire - ou « statu quo ante » - moment où l’état de santé de la personne expertisée est similaire à celui qui existait immédiatement avant l’accident - atteint) ?</w:t>
      </w:r>
    </w:p>
    <w:p>
      <w:r>
        <w:rPr>
          <w:b/>
        </w:rPr>
        <w:t>E. 5.3.8</w:t>
      </w:r>
    </w:p>
    <w:p>
      <w:r>
        <w:t>Dans le cas où l’accident du 28 août 2014 a joué un rôle, même partiel, dans la survenance de ces atteintes, celles-ci ont-elles entraîné une incapacité de travail dans l'activité habituelle et/ou dans une activité adaptée (veuillez préciser le domaine) ? Si oui, depuis quand et à quel taux ? Comment ce taux a-t-il évolué ? Quelles sont les limitations fonctionnelles en relation avec chaque diagnostic ?</w:t>
      </w:r>
    </w:p>
    <w:p>
      <w:r>
        <w:rPr>
          <w:b/>
        </w:rPr>
        <w:t>E. 5.4</w:t>
      </w:r>
    </w:p>
    <w:p>
      <w:r>
        <w:t>S’agissant des diagnostics ne correspondant pas à une lésion corporelle figurant à l’art. 9 al. 2 aOLAA :</w:t>
      </w:r>
    </w:p>
    <w:p>
      <w:r>
        <w:rPr>
          <w:b/>
        </w:rPr>
        <w:t>E. 5.4.1</w:t>
      </w:r>
    </w:p>
    <w:p>
      <w:r>
        <w:t>L’accident du 28 août 2014 est-il la cause unique ou une cause partielle ( condition sine qua non ) de ces atteintes ? Plus précisément, le lien de causalité est-il seulement possible (moins de 50% dû à l’accident), probable (plus de 50% dû à l’accident) ou certain (100% dû à l’accident) ?</w:t>
      </w:r>
    </w:p>
    <w:p>
      <w:r>
        <w:rPr>
          <w:b/>
        </w:rPr>
        <w:t>E. 5.4.2</w:t>
      </w:r>
    </w:p>
    <w:p>
      <w:r>
        <w:t>En particulier, les atteintes ayant nécessité l’intervention du genou gauche le 19 février 2015 sont-elles dues à l’accident du 28 août 2014 d’une façon possible (moins de 50%), probable (plus de 50%) ou certaine (100%) ?</w:t>
      </w:r>
    </w:p>
    <w:p>
      <w:r>
        <w:rPr>
          <w:b/>
        </w:rPr>
        <w:t>E. 5.4.3</w:t>
      </w:r>
    </w:p>
    <w:p>
      <w:r>
        <w:t>Les atteintes ayant nécessité l’intervention du genou gauche le 14 juin 2017 sont-elles dues à l’accident du 28 août 2014 d’une façon possible (moins de 50%), probable (plus de 50%) ou certaine (100%) ?</w:t>
      </w:r>
    </w:p>
    <w:p>
      <w:r>
        <w:rPr>
          <w:b/>
        </w:rPr>
        <w:t>E. 5.4.4</w:t>
      </w:r>
    </w:p>
    <w:p>
      <w:r>
        <w:t>Le cas échéant, quels sont les facteurs étrangers à l’accident du 28 août 2014 qui ont contribué, avec ledit accident, à la survenance de ces atteintes ?</w:t>
      </w:r>
    </w:p>
    <w:p>
      <w:r>
        <w:rPr>
          <w:b/>
        </w:rPr>
        <w:t>E. 5.4.5</w:t>
      </w:r>
    </w:p>
    <w:p>
      <w:r>
        <w:t>L’accident du 28 août 2014 a-t-il déclenché un processus qui serait de toute façon survenu sans cet événement ?</w:t>
      </w:r>
    </w:p>
    <w:p>
      <w:r>
        <w:rPr>
          <w:b/>
        </w:rPr>
        <w:t>E. 5.4.6</w:t>
      </w:r>
    </w:p>
    <w:p>
      <w:r>
        <w:t>À partir de quand les facteurs étrangers sont-ils devenus, ou deviennent-ils, au degré de la vraisemblance prépondérante , les seules causes influentes sur l’état de santé (« statu quo sine » ou « statu quo ante » atteint) ?</w:t>
      </w:r>
    </w:p>
    <w:p>
      <w:r>
        <w:rPr>
          <w:b/>
        </w:rPr>
        <w:t>E. 5.4.7</w:t>
      </w:r>
    </w:p>
    <w:p>
      <w:r>
        <w:t>S’agissant des atteintes ayant un lien de causalité probable ou certain avec l’accident du 28 août 2014, celles-ci ont-elles entraîné une incapacité de travail dans l'activité habituelle et/ou dans une activité adaptée (veuillez préciser le domaine) ? Si oui, depuis quand et à quel taux ? Comment ce taux a-t-il évolué ? Quelles sont les limitations fonctionnelles en relation avec chaque diagnostic ? 6 Traitement</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Examen du traitement suivi par la personne expertisée et analyse de son adéquation</w:t>
      </w:r>
    </w:p>
    <w:p>
      <w:r>
        <w:rPr>
          <w:b/>
        </w:rPr>
        <w:t>E. 6.2</w:t>
      </w:r>
    </w:p>
    <w:p>
      <w:r>
        <w:t>Propositions thérapeutiques et analyse de leurs effets sur la capacité de travail de la personne expertisée</w:t>
      </w:r>
    </w:p>
    <w:p>
      <w:r>
        <w:rPr>
          <w:b/>
        </w:rPr>
        <w:t>E. 6.3</w:t>
      </w:r>
    </w:p>
    <w:p>
      <w:r>
        <w:t>Peut-on attendre de la poursuite du traitement médical une notable amélioration de l’état de santé de la personne expertisée ?</w:t>
      </w:r>
    </w:p>
    <w:p>
      <w:r>
        <w:rPr>
          <w:b/>
        </w:rPr>
        <w:t>E. 6.4</w:t>
      </w:r>
    </w:p>
    <w:p>
      <w:r>
        <w:t>Si non, à partir de quel moment ne peut-on plus attendre de la continuation du traitement médical une notable amélioration de l’état de santé de la personne expertisée (état final atteint) ?</w:t>
      </w:r>
    </w:p>
    <w:p>
      <w:r>
        <w:rPr>
          <w:b/>
        </w:rPr>
        <w:t>E. 7</w:t>
      </w:r>
    </w:p>
    <w:p>
      <w:r>
        <w:t>Atteinte à l’intégrité</w:t>
      </w:r>
    </w:p>
    <w:p>
      <w:r>
        <w:rPr>
          <w:b/>
        </w:rPr>
        <w:t>E. 7.1</w:t>
      </w:r>
    </w:p>
    <w:p>
      <w:r>
        <w:t>La personne expertisée présente-t-elle une atteinte à l’intégrité définitive, en lien avec les atteintes en rapport de causalité au moins probable (probabilité de plus de 50 %) avec l’accident ?</w:t>
      </w:r>
    </w:p>
    <w:p>
      <w:r>
        <w:rPr>
          <w:b/>
        </w:rPr>
        <w:t>E. 7.2</w:t>
      </w:r>
    </w:p>
    <w:p>
      <w:r>
        <w:t>Si oui, quel est le taux applicable selon les tables de la CNA ?</w:t>
      </w:r>
    </w:p>
    <w:p>
      <w:r>
        <w:rPr>
          <w:b/>
        </w:rPr>
        <w:t>E. 7.3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7.4</w:t>
      </w:r>
    </w:p>
    <w:p>
      <w:r>
        <w:t>Il n'est pas nécessaire, à ce stade, de procéder à l'audition du Dr E______, orthopédiste traitant, ni d'entendre oralement le recourant qui s'est exprimé par écrit, ni de solliciter l'apport du dossier AI du recourant, puisque, d'une part, ce dossier, pour l'essentiel, est constitué des pièces que l'intimée a communiquées à l'OAI à la demande de cette autorité (dossier intimée pièces 148, 179, 192, 214, 224), et d'autre part, l'OAI, à l'inverse de l'intimée, n'examine pas la question ici déterminante du lien de causalité entre les affections du recourant et l'accident (cf. art. 4 de la loi sur l'assurance-invalidité du 19 juin 1959 [LAI - RS 831.20]). En ce qui concerne les rapports de l'orthopédiste traitant postérieurs au 3 juin 2019, notamment le rapport du 31 octobre 2019 relatif à une opération pratiquée la veille sur le genou et la cheville droits (qui n'est pas inclus dans le dossier de l'intimée) et les rapports d'IRM « récents à l'époque » dont fait référence la chambre de céans dans un arrêt de renvoi du 20 juillet 2020 opposant le recourant à l'OAI ( ATAS/602/2020 ; cf. acte de recours p. 7-8) à la suite duquel l'OAI a rendu la décision du 11 janvier 2021, le recourant est invité à les requérir auprès de son orthopédiste traitant et à les transmettre à la chambre de céans pour qu'elle puisse les communiquer tant à l'intimée qu'à l'expert judiciaire. PAR CES MOTIFS, LA CHAMBRE DES ASSURANCES SOCIALES : Statuant préparatoirement I. Ordonne une expertise médicale de Monsieur A______. La confie au docteur G______, spécialiste FMH en chirurgie orthopédique et traumatologie de l'appareil locomoteur, en particulier de la hanche et du genou. II. Dit que la mission d’expertise sera la suivante : A. Prendre connaissance du dossier de la cause. B. Si nécessaire prendre tous renseignements et/ou requérir tous rapports médicaux auprès des médecins ayant traité la personne expertisée, notamment le docteur E______.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 précis 5. Causalité</w:t>
      </w:r>
    </w:p>
    <w:p>
      <w:r>
        <w:rPr>
          <w:b/>
        </w:rPr>
        <w:t>E. 8</w:t>
      </w:r>
    </w:p>
    <w:p>
      <w:r>
        <w:t>Appréciation d'avis médicaux du dossier</w:t>
      </w:r>
    </w:p>
    <w:p>
      <w:r>
        <w:rPr>
          <w:b/>
        </w:rPr>
        <w:t>E. 8.1</w:t>
      </w:r>
    </w:p>
    <w:p>
      <w:r>
        <w:t>Êtes-vous d'accord avec l'avis du Dr D______ du 18  décembre 2017 ? En particulier avec les diagnostics posés, la date de la stabilisation de l'état de santé, l'estimation d'une capacité de travail de la personne expertisée de 0% dans l'activité habituelle mais de 100% dans une activité adaptée, les limitations fonctionnelles, et le taux de l'atteinte à l'intégrité de 7% ? Si non, pourquoi ?</w:t>
      </w:r>
    </w:p>
    <w:p>
      <w:r>
        <w:rPr>
          <w:b/>
        </w:rPr>
        <w:t>E. 8.2</w:t>
      </w:r>
    </w:p>
    <w:p>
      <w:r>
        <w:t>Êtes-vous d'accord avec le rapport du Dr F______ du 13 mars 2021 et son complément du 6 octobre 2021 ? En particulier avec les diagnostics posés et son appréciation concernant la causalité (naturelle) entre les atteintes de la personne expertisée et l'accident du 28 août 2014 ?</w:t>
      </w:r>
    </w:p>
    <w:p>
      <w:r>
        <w:rPr>
          <w:b/>
        </w:rPr>
        <w:t>E. 8.2.1</w:t>
      </w:r>
    </w:p>
    <w:p>
      <w:r>
        <w:t>Les troubles présentés par l'assuré au genou droit sont-ils en lien de causalité, au degré de la vraisemblance prépondérante, avec l'accident précité ? Existe-il un lien de causalité naturelle (indirecte) entre les troubles au genou et la cheville droits et la boiterie chronique gauche dont se plaint (plaignait) l'assuré ? Les atteintes ayant nécessité l’intervention du genou droit le 5 décembre 2018 et celle dudit genou et de la cheville droite le 30 octobre 2019 sont-elles dues à l’accident du 28 août 2014 et/ou à cette boiterie chronique gauche d’une façon possible (moins de 50%), probable (plus de 50%) ou certaine (100%) ?</w:t>
      </w:r>
    </w:p>
    <w:p>
      <w:r>
        <w:rPr>
          <w:b/>
        </w:rPr>
        <w:t>E. 8.2.2</w:t>
      </w:r>
    </w:p>
    <w:p>
      <w:r>
        <w:t>Les troubles présentés au rachis lombaire sont-ils en lien de causalité, au degré de la vraisemblance prépondérante, avec l'accident précité ? L'« origine multifactorielle » des lésions mentionnées sur l'IRM lombaire du 3 septembre 2018 se rapporte-t-elle à l'accident du 28 août 2014 ? Existe-il un lien de causalité naturelle (indirecte) entre les lombalgies et la boiterie chronique gauche dont se plaint (plaignait) l'assuré ?</w:t>
      </w:r>
    </w:p>
    <w:p>
      <w:r>
        <w:rPr>
          <w:b/>
        </w:rPr>
        <w:t>E. 9</w:t>
      </w:r>
    </w:p>
    <w:p>
      <w:r>
        <w:t>Faire toutes autres observations ou suggestions utiles E. Invite l’expert à déposer son rapport en trois exemplaires dans un délai de quatre mois auprès de la chambre de céans. F. Réserve le fond ainsi que le sort des frais jusqu’à droit jugé au fond. La greffière Sylvie CARDINAUX La présidente Eleanor McGREGOR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