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A/16/2025 vom 16. Juni 2025</w:t>
      </w:r>
    </w:p>
    <w:p>
      <w:r>
        <w:t>GE Cour de justice, 2025-06-16, FR</w:t>
      </w:r>
    </w:p>
    <w:p>
      <w:r>
        <w:rPr>
          <w:b/>
        </w:rPr>
        <w:t xml:space="preserve">Quelle: </w:t>
      </w:r>
      <w:r>
        <w:t>https://mcp.opencaselaw.ch/entscheid/ge_gerichte_A_16_2025</w:t>
      </w:r>
    </w:p>
    <w:p>
      <w:r>
        <w:t>FR: GE_GERICHTE A/16/2025 du 16 juin 2025</w:t>
      </w:r>
    </w:p>
    <w:p>
      <w:r>
        <w:t>IT: GE_GERICHTE A/16/2025 del 16 giugno 2025</w:t>
      </w:r>
    </w:p>
    <w:p>
      <w:pPr>
        <w:pStyle w:val="Heading2"/>
      </w:pPr>
      <w:r>
        <w:t>Regeste</w:t>
      </w:r>
    </w:p>
    <w:p>
      <w:r>
        <w:t>RETRAIT DE PERMIS;RETRAIT DU PERMIS À TITRE PRÉVENTIF;ALCOOLÉMIE;EXPERTISE MÉDICALE | LCR.16c.al1.leta; LCR.16c.al2.leta; LCR.90.al2</w:t>
      </w:r>
    </w:p>
    <w:p>
      <w:pPr>
        <w:pStyle w:val="Heading2"/>
      </w:pPr>
      <w:r>
        <w:t>Volltext</w:t>
      </w:r>
    </w:p>
    <w:p>
      <w:r>
        <w:t>Genf Tribunal administratif de première instance en matière fiscale 16.06.2025 A/16/2025 Genève Tribunal administratif de première instance en matière fiscale 16.06.2025 A/16/2025 Ginevra Tribunal administratif de première instance en matière fiscale 16.06.2025 A/16/2025</w:t>
      </w:r>
    </w:p>
    <w:p>
      <w:r>
        <w:t>RETRAIT DE PERMIS;RETRAIT DU PERMIS À TITRE PRÉVENTIF;ALCOOLÉMIE;EXPERTISE MÉDICALE | LCR.16c.al1.leta; LCR.16c.al2.leta; LCR.90.al2</w:t>
      </w:r>
    </w:p>
    <w:p>
      <w:r>
        <w:t>A/16/2025 JTAPI/665/2025 du 16.06.2025 ( LCR ) , REJETE Descripteurs : RETRAIT DE PERMIS;RETRAIT DU PERMIS À TITRE PRÉVENTIF;ALCOOLÉMIE;EXPERTISE MÉDICALE Normes : LCR.16c.al1.leta; LCR.16c.al2.leta; LCR.90.al2 En fait En droit Par ces motifs république et canton de genève POUVOIR JUDICIAIRE A/16/2025 LCR JTAPI/665/2025 JUGEMENT DU TRIBUNAL ADMINISTRATIF DE PREMIÈRE INSTANCE du 16 juin 2025 dans la cause Monsieur A______ contre OFFICE CANTONAL DES VÉHICULES EN FAIT 1.             Monsieur A______, né le ______ 1998, est ressortissant suisse. 2.             Il est titulaire du permis de conduire catégorie A depuis le ______ 2016. 3.             Le 26 juillet 2024, à 19h09, le conducteur, au guidon du motocycle immatriculé GE 1______, sur le Quai de Cologny, 1223 Cologny, à la hauteur du numéro 61, en direction de la route de Thonon, a circulé à la vitesse de 108 km/h, alors que la vitesse maximale autorisée sur ce tronçon est de 60 km/h, soit un dépassement de 42 km/h de la vitesse autorisée, marge de sécurité de 6 km/h déduite. 4.             Par courrier du 6 novembre 2024, l'office cantonal des véhicules (ci-après : OCV) a informé M. A______ que les autorités de police lui avaient transmis leur rapport concernant l'infraction susmentionnée et qu'une mesure administrative pouvait être prise à son encontre, indépendamment de toute amende ou autre sanction pénale. Un délai de quinze jours lui était imparti pour faire part de ses observations écrites. 5.             Le 20 novembre 2024, M. A______ a fait parvenir ses observations. Il sollicitait la réduction de son amende et de la durée du retrait de son permis de conduire. Il ne contestait pas les faits reprochés, mais il souhaitait porter à l'attention de l'OCV des éléments contextuels qui pourraient être pris en considération afin d'alléger sa sanction. Il avait reçu le jour même, à 18h30, un appel urgent d'un client important lui signalant qu’un de ses collaborateurs avait oublié de récupérer des prélèvements potentiellement contaminés à l’amiante. Le client partant en vacances, il était impératif d’intervenir rapidement pour éviter tout désagrément. Il était responsable au sein de la société B______ SA. Aussi, l'utilisation de son véhicule était essentielle, sa fonction impliquant des déplacements quotidiens pour des rendez-vous clients ou des interventions techniques sur l'ensemble du territoire genevois. En outre, son véhicule était en parfait état et bien entretenu et son excès de vitesse avait été commis sur une double voie avec séparateur central, par beau temps et avec une bonne visibilité. 6.             Par décision du 6 décembre 2024, l'OCV a retiré le permis de conduire de M. A______ pour une durée de treize mois, en application de l'art. 16c de la loi fédérale sur la circulation routière du 19 décembre 1958 (LCR - RS 741.01) en raison des faits précités. La durée du retrait était fixée du 31 janvier 2025 au 28 février 2026, dates incluses. Il s'agissait d'une infraction grave aux règles de la circulation routière. M. A______ ne pouvait pas justifier d'une bonne réputation, le système d'information relatif à l'admission à la circulation (ci-après : SIAC-Mesures) faisant état d'un refus de délivrer un permis, avec un délai d'attente, pour une durée de six mois, prononcé par décision du 19 juin 2019. M. A______ n'avait pas justifié d'un besoin professionnel de conduire des véhicules au sens de la jurisprudence, selon laquelle la nécessité de disposer d'un véhicule à moteur était prise en compte lorsque la privation du droit de conduire interdisait tout exercice de la profession ou entraînait une perte de gain ou des frais si considérables que la mesure apparaissait comme manifestement disproportionnée. Compte tenu de l'ensemble de ces circonstances, il avait prononcé une mesure s'écartant du minimum légal. 7.             Par acte du 3 janvier 2025, M. A______ (ci-après : le recourant) a formé recours contre cette décision auprès du Tribunal administratif de première instance (ci-après : le tribunal) concluant à la réduction de la durée du retrait de son permis de conduire. Sa première infraction ne portait pas sur un refus de délivrance de permis. En effet, à l'époque des faits, il avait remis son permis de conduire en toute bonne foi à un agent de police, lequel l’avait informé qu’il n’était plus valable faute d’avoir complété les cours de deux phases dans le délai imparti. Cette omission était survenue dans un contexte difficile, marqué par son engagement militaire. En tant que grenadier de char, il avait subi une grave blessure au sternum. Malgré cette blessure, ses supérieurs l’avaient contraint à effectuer des tâches physiques inadaptées à son état, ce qui avait aggravé sa condition et nécessité une opération ainsi qu’un arrêt médical de six mois. Ces circonstances avaient fortement affecté sa stabilité, tant personnelle que psychologique, et avaient contribué à l’inattention ayant conduit à cette première infraction, laquelle relevait davantage d’un manquement administratif que d’un comportement dangereux ou intentionnel au volant. En outre, plus de cinq années s’étaient écoulées entre cette première infraction et celle qui faisait l’objet de la présente procédure. Cet intervalle témoignait de sa volonté et de ses efforts pour adopter une conduite respectueuse des règles de la circulation. Par ailleurs, aucune autre infraction grave n’était intervenue durant cette période. Bien que la durée du retrait de permis prononcée, soit treize mois, était conforme à l’application stricte de l’article 16c LCR, elle était disproportionnée au regard des circonstances exposées. La nature administrative de la première infraction, la durée écoulée depuis celle-ci, ainsi que les efforts sincères qu’il avait déployés pour se conformer aux règles de la circulation routière justifiaient un allègement de la sanction. Enfin, il était disposé à entreprendre toute démarche complémentaire, notamment à suivre un cours de sensibilisation à la sécurité routière, afin de démontrer sa bonne foi et son engagement. 8.             Par ordonnance pénale du 3 janvier 2025 du Ministère public du canton de Genève, M. A______ a été condamné pour infraction à l'art. 90 al. 2 LCR en raison des faits précités, à une peine pécuniaire de 60 jours-amende, à CHF 50.-, avec sursis à l'exécution de la peine et délai d'épreuve de trois ans, ainsi qu'à une amende à titre de sanction immédiate de CHF 600.-. 9.             Par décision du 13 janvier 2025, l'OCV a rendu une nouvelle décision. Sa décision du 6 décembre 2024 était modifiée quant à la durée du retrait qui était réduite à quatre mois (en lieu et place des treize mois initiaux) et maintenue pour le surplus. À la suite du recours formé, il avait constaté qu'une erreur de plume s'était glissée dans la fixation de la durée du retrait. L'infraction restait qualifiée d'infraction grave au sens de l'art. 16c al. 1 let. a LCR. La durée minimale du retrait s'élevait à trois mois. Il avait été tenu compte des observations du recourant du 20 novembre 2024 ainsi que du recours interjeté par-devant le tribunal de céans le 3 janvier 2025. Compte tenu de l'ensemble des circonstances, et notamment de l'importance de l'excès de vitesse commis (soit 102 km/h au lieu de 60 km/h), il prononçait une mesure qui s'écartait du minimum légal. Le recourant ne justifiait pas d'un besoin professionnel de conduire des véhicules automobiles. Par ailleurs, il ne pouvait justifier d'une bonne réputation, le SIAC faisant apparaître un avertissement prononcé pas décision du 10 octobre 2016, ainsi qu'un refus de délivrer un permis, avec un délai d'attente, pour une durée de six mois, prononcé par décision du 19 juin 2019, mesure levée le 23 octobre 2019. 10.         Par pli du 17 janvier 2025, le recourant a redéposé son recours contre la décision querellée. 11.         Par acte du 31 janvier 2025, le précité a formé recours contre la décision de l'OCV du 13 janvier 2025 auprès du tribunal, concluant à la réduction de la durée du retrait de permis, voire à l'annulation de la décision querellée, subsidiairement à l'examen d'une mesure alternative. Lorsqu’il avait pris connaissance de la durée initiale de retrait de treize mois, il avait ressenti une immense peur et un stress considérable, tant sur le plan personnel que professionnel. Il avait immédiatement dû entreprendre de nombreuses démarches administratives pour déposer un premier recours, ce qui lui avait fait perdre un temps précieux et avait généré une grande inquiétude quant à l'impact sur son quotidien. Par ailleurs, cette situation l'avait contraint à se renseigner sur d'autres moyens de transport, notamment le vélo, afin de pouvoir continuer à se déplacer de manière autonome. Il était pleinement conscient de la gravité de l’infraction commise et, même sans retrait de permis, cette expérience avait été un véritable électrochoc. Elle lui avait permis de prendre encore davantage conscience de l’importance de la prudence et du strict respect des limitations de vitesse. Cependant, l’erreur initiale dans la durée de la sanction soulevait des interrogations sur l’évaluation de son dossier. Une telle incohérence laissait à penser qu'une réévaluation approfondie pourrait être nécessaire pour garantir une sanction véritablement adaptée à sa situation. 12.         Par courrier du 3 mars 2025, l'OCV a transmis ses observations, concluant au rejet du recours et à la confirmation de la décision querellée, frais et dépens à la charge du recourant. Le dépassement de vitesse commis constituait une infraction grave au sens de l'art. 16c al. 1 let. a LCR et de la jurisprudence fédérale, et ce de manière objective et sans égard aux circonstances concrètes, à la bonne réputation du conducteur ou encore à son besoin professionnel de conduire des véhicules. Ainsi, la durée minimale du retrait de permis s'élevait à trois mois au sens de l'art. 16c al. 2 let. a LCR. À cet égard, il était précisé que si le recourant suivait un cours dispensé par le Bureau des préventions des accidents (ci-après : BPA), l'autorité serait disposée à réduire d'un mois au maximum la durée de retrait initialement fixée. Les modalités de ce cours figuraient dans le fascicule « Virage – Retrait d'admonestation » annexé aux observations de l’OCV. Cela dit, dans son appréciation, il avait estimé que l'importance de l'excès de vitesse commis, 108 km/h au lieu de 60 km/h, justifiait le prononcé d'une mesure s'écartant du minimum légal précité. Il avait également retenu que le recourant n'était pas parvenu à justifier d'un besoin professionnel de conduire, tel que défini par le Tribunal fédéral. Par conséquent, il estimait ne pas avoir excédé ou abusé de son pouvoir d'appréciation en prononçant la décision du 13 janvier 2025, laquelle était maintenue pour le surplus. Il a produit son dossier. 13.         Dans le délai imparti, le recourant n'a pas répliqué. 14.         Il a été porté à la connaissance du tribunal que le recourant aurait fait l'objet d'une nouvelle procédure pénale pour infraction la LCR. 15.         Par courrier du 8 mai 2025, le tribunal a requis du recourant des renseignements concernant la procédure pénale précitée, et cas échéant, de lui adresser copie de la décision rendue à son encontre par l'autorité de poursuite pénale, lui impartissant un délai au 19 mai 2025 pour ce faire. 16.         Par courrier du 26 mai 2025, sans retour du recourant, le tribunal a relancé le recourant et lui a imparti un ultime délai au 5 juin 2025 pour faire parvenir les renseignements sollicités, en attitrant son attention sur le fait que, passé ce délai, le tribunal considérerait qu'il s'était désintéressé de la procédure. 17.         Par courrier du 2 juin 2025, le recourant a transmis au tribunal copie de l’avis d’ouverture d’une procédure administrative qui lui a été adressée par l’OCV le 21 janvier 2025, ainsi que ses déterminations du 5 février 2025. Il n’a pas transmis copie de l’ordonnance pénale rendue à son encontre. Il contestait les faits reprochés. 18.         Par courriel du 11 juin 2025, le tribunal a sollicité directement du Ministère public les renseignements préalablement sollicités du recourant, en particulier une copie de l'ordonnance pénale rendue à son encontre le ______ 2025 (P/2______). 19.         Par retour de courriel, le 12 juin 2025, le Ministère public a transmis au tribunal copie de l'ordonnance pénale prononcée à l'encontre du recourant le 5 mars 2025. 20.         À teneur de cette ordonnance pénale, entrée en force, le Ministère public du canton de Genève a condamné le recourant à une peine pécuniaire de 20 jours-amende, à CHF 50.-, sursis à l'exécution de la peine et délai d'épreuve de cinq ans, assortie d'une amende de CHF 500.-, pour violation grave des règles de la circulation routière au sens de l'art. 90 al. 2 LCR. Il a retenu que le 29 novembre 2024, le recourant avait circulé, à 10h56, sur la route de Florissant, à proximité du chemin Jean-Achard, en direction du pont de Sierne, au volant du véhicule automobile immatriculé GE 2______, à la vitesse de 82 km/h, alors que la vitesse maximale autorisée à cet endroit est de 50 km/h, d'où un dépassement de 27km/h (marge de sécurité déduite).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 4.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elle ne remplace pas la première, mais est considérée comme constituant le chef de conclusions de l’autorité intimée (arrêt du Tribunal fédéral 1C_97/2022 du 23 janvier 2023 consid. 2.1.1 ; ATA/1369/2023 du 19 décembre 2023 consid. 3.1). 5.             En l'espèce, la décision du 13 janvier 2025 annulant et remplaçant la décision du 6 décembre 2024 n'a pas fait entièrement droit aux conclusions du recourant. Partant, cette nouvelle décision n'a pas mis fin à la procédure et l'instruction de celle-ci se poursuit, avec pour effet que les nouvelles écritures en lien avec la nouvelle décision en font partie.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7.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 8.             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 9.             En l'occurrence, la décision querellée a pour objet le retrait du permis de conduire de M. A______ pour une durée de quatre mois. 10.         Le recourant ne conteste pas l'infraction qui lui est reprochée, de sorte qu'il n'y a pas lieu d'y revenir. Il conteste en revanche sa qualification et estime que la durée du retrait prononcé par l'OCV est trop importante et disproportionnée au regard des circonstances, en particulier au vu du fait que cette sanction a été réduite de treize à quatre mois après son premier recours et que, dans ce contexte, une réévaluation complète de sa situation, apparaît nécessaire. Il conclut à la réduction de la durée du retrait, sans la chiffrer, voire à l'annulation dudit retrait ou, à défaut, à l'examen d'une mesure alternative. 11.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 du 7 juin 2011). 12.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 du Tribunal fédéral 1C_245/2010 du 13 juillet 2010 consid. 2.1 ; ATA/172/2012 du 27 mars 2012 ; ATA/363/2011 du 7 juin 2011). 13.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 ATA/172/2012 du 27 mars 2012). 14.         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 15.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16.         Pour déterminer la durée et s'il y a lieu de prononcer un retrait d'admonestation, la LCR distingue les infractions légères, moyennement graves et graves (art. 16a à 16c LCR). 17.         Selon l’art. 16c al. 1 LCR, commet une infraction grave la personne qui, en violant gravement les règles de la circulation met sérieusement en danger la sécurité d’autrui ou en prend le risque (let. a). 18.         De façon générale, la qualification de cas grave au sens de l'art. 16c al. 1 let. a LCR correspond à celle de l'art. 90 al. 2 LCR (ATF 132 II 234 consid. 3 ; arrêt du Tribunal fédéral 6B.264/2007 du 19 septembre 2007 consid. 3.1 ; ATA/458/2012 du 30 juillet 2012). 19.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On soulignera ici que ces seuils ont été fixés par la jurisprudence en tenant compte du fait que les dépassements en question sont commis dans des conditions de circulation idéales. Ainsi, le fait que la route soit rectiligne ou que la visibilité soit optimale ne diminue pas le degré de danger atteint par un certain dépassement de la vitesse autorisée, mais fait partie de la définition de ce danger. Lorsque les conditions de la circulation sont défavorables, le danger est accru (à vitesse égale) et la gravité de l'infraction croît également. 20.         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 21.         Après une infraction grave, le permis d'élève conducteur ou le permis de conduire est retiré pour trois mois au minimum (art. 16c al. 2 let. a LCR). 22.         En vertu de l'art. 16 al. 3 LCR, les circonstances qui doivent être prises en considérations pour fixer la durée du retrait du permis de conduire sont notamment l'atteinte à la sécurité routière, la gravité de la faute, les antécédents en tant que conducteur ainsi que la nécessité professionnelle de conduire un véhicule automobile ; la durée minimale du retrait ne peut être toutefois réduite. 23.         La proximité temporelle d'un antécédent (généralement constitutif d'une récidive) est une circonstance aggravante (arrêts 1C_366/2011 consid. 3.5 ; 1C_293/2009 consid. 2.2). 24.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(ATF 128 II 285 , consid. 2.4 ; 123 II 572 , consid. 2c ; arrêt du Tribunal fédéral 1C_504/2011 du 7 mars 2012, consid. 4.1).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25.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un chauffeur de taxis, un livreur ou un routier (arrêts du Tribunal fédéral 1C_430/2011 du 7 mars 2012 consid. 4.2 ; 1C_63/2007 du 24 septembre 2007 consid. 4.4 ; SJ 1994 p. 534).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 26.         En l'espèce, le recourant a reconnu l'infraction qui lui est reprochée, à savoir un dépassement de la vitesse autorisée de 42 km/h (marge de sécurité déduite). Ce dernier a par ailleurs été condamné par ordonnance pénale du 3 janvier 2025 pour violation grave des règles de la circulation routière au sens de l’art. 90 al. 2 LCR, laquelle est entrée en force et dont il n'existe aucune raison de s'écarter. Au vu de ce qui précède, c'est donc à juste titre que l’OCV a qualifié l'infraction commise par le recourant de faute grave et a prononcé un retrait de permis, étant rappelé que l'autorité administrative n'a pas de marge de manœuvre en la matière et ne peut s'écarter, sans circonstances particulières, non réalisées en l'espèce, des faits tels qu'ils ont été retenus par l'autorité de poursuite pénale. La durée de quatre mois, légèrement supérieure à la durée minimale incompressible de trois mois, n'apparaît en outre pas disproportionnée au vu des circonstances du cas d'espèce. Il est encore à souligner qu'il était loisible au recourant de suivre un cours dispensé par le BPA, l'autorité ayant indiqué qu'elle aurait été disposée à réduire d'un mois au maximum la durée de retrait initialement fixée, ce qu'il a choisi de ne pas faire. À cela s'ajoute que le recourant a récidivé le 29 novembre 2024, en commettant un nouvel excès de vitesse de 27 km/h, constitutif d'une faute grave, et qu'il a été condamné le 3 mars 2025 par l'autorité de poursuite pénale pour violation grave des règles de la circulation routière au sens de l'art. 90 al. 2 LCR, décision qui est également entrée en force. Sans qu'il s'agisse d'un antécédent, cette infraction étant survenue après le prononcé de la décision querellée, force est de constater que le recourant n'a pas, malgré ses déclarations en cours d'instruction, pris conscience que sa conduite, dangereuse, compromet la sécurité des autres usagers de la route. Par ailleurs, le recourant ne peut valablement se prévaloir d'un besoin de conduire au sens strict où l'entendent la jurisprudence et la doctrine dans la mesure où les transports publics ou le taxi permettent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 Dans ces conditions, le tribunal estime que l'OCV n'a pas excédé ou abusé de son large pouvoir d'appréciation pour s'écarter du minimum légal de trois mois, décision qui apparait dès lors conforme au principe de la proportionnalité qui gouverne toute action étatique (art. 36 de la Constitution fédérale de la Confédération suisse du 18 avril 1999 - Cst. - RS 101). Au surplus, comme rappelé ci-dessus, le retrait du permis de conduire est une mesure obligatoire, qui, dès que ses conditions légales sont remplies, doit être ordonnée par l'autorité. Il n'existe ainsi pas de place pour une sanction de substitution. 27.         Entièrement mal fondé, le recours sera rejeté et la décision querellée confirmée. 28.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3 janvier 2025 par Monsieur A______ contre la décision de l'office cantonal des véhicules du 6 décembre 2024 ; 2.             le rejette;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