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A/1691/2012 vom 19. September 2012</w:t>
      </w:r>
    </w:p>
    <w:p>
      <w:r>
        <w:t>GE Cour de justice, 2012-09-19, FR</w:t>
      </w:r>
    </w:p>
    <w:p>
      <w:r>
        <w:rPr>
          <w:b/>
        </w:rPr>
        <w:t xml:space="preserve">Quelle: </w:t>
      </w:r>
      <w:r>
        <w:t>https://mcp.opencaselaw.ch/entscheid/ge_gerichte_A_1691_2012</w:t>
      </w:r>
    </w:p>
    <w:p>
      <w:r>
        <w:t>FR: GE_GERICHTE A/1691/2012 du 19 septembre 2012</w:t>
      </w:r>
    </w:p>
    <w:p>
      <w:r>
        <w:t>IT: GE_GERICHTE A/1691/2012 del 19 settembre 2012</w:t>
      </w:r>
    </w:p>
    <w:p>
      <w:pPr>
        <w:pStyle w:val="Heading2"/>
      </w:pPr>
      <w:r>
        <w:t>Erwägungen</w:t>
      </w:r>
    </w:p>
    <w:p>
      <w:r>
        <w:rPr>
          <w:b/>
        </w:rPr>
        <w:t>E. 5</w:t>
      </w:r>
    </w:p>
    <w:p>
      <w:r>
        <w:t>ème Chambre En la cause Monsieur H__________, domicilié à Genève Madame à H__________, domiciliée à GENEVE demandeurs contre SWISSLIFE SA, sis General-Guisan-Quai 40; case postale, 8022 Zürich défenderesse EN FAIT Par jugement du 10 novembre 2011, la 19 ème chambre du Tribunal de première instance a prononcé le divorce de Madame H__________, née I__________ en 1974, et Monsieur H__________, né en 1975, mariés en date du 8 octobre 2001. Selon le chiffre 10 du jugement précité, le Tribunal de première instance a ordonné le partage par moitié des avoirs de prévoyance professionnelle acquis par chacun des époux durant le mariage. Le jugement de divorce est devenu définitif le 3 janvier 2012 et a été transmis d'office à la Cour de céans le 1 er juin 2012 pour exécution du partage. Par courrier du 15 juin 2012, SWISSLIFE a informé la Cour de céans que le demandeur bénéficiait d’une prestation de libre passage accumulée durant le mariage de 71'814 fr. Selon le courrier de la CAISSE CANTONALE GENEVOISE DE COMPENSATION, Service des comptes individuels et des certificats d’assurance du 11 juillet 2012, la demanderesse n’a réalisé que de petits revenus. Les investigations de la Cour de céans n'ont pas permis de découvrir les avoirs de vieillesse de celle-ci. Le 13 août 2012, la Cour de céans a communiqué aux ex-époux sur quelle base elle procédera au partage des avoirs de vieillesse. Elle a également invité la demanderesse à lui faire connaître les coordonnés de son compte de libre passage. En l'absence d'objections et de réponse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8 octobre 2001, d’autre part le 3 janvier 2012, date à laquelle le jugement de divorce est devenu exécutoire. Selon les renseignements recueillis, la prestation acquise pendant le mariage par le demandeur est de 71'814 fr., les intérêts ayant déjà été calculés par l’institution de prévoyance défenderesse, tandis que la demanderesse ne dispose d’aucun avoir de vieillesse. Ainsi le demandeur doit à son ex-épouse le montant de 35'907 fr. (71'814 fr. : 2). Dans la mesure où la demanderesse a omis de communiquer les coordonnés de son compte de libre passage, l'avoir de vieillesse lui revenant sera versé sur un compte à ouvrir auprès de la Fondation Institution supplétive LPP, administration des comptes de libre passage, à Zurich.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Invite SWISSLIFE SA à transférer, du compte de Monsieur H__________, AVS n° __________, Police n° _________7, la somme de 35'907 fr. en faveur de Madame H__________, AVS n° __________, sur un compte à ouvrir en sa faveur auprès de la Fondation Institution supplétive LPP, administration des comptes de libre passage, à Zurich, ainsi que des intérêts compensatoires au sens des considérants, dès le 3 janvier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 Copie est adressée pour information la Fondation Institution Supplétive LPP, Administration des comptes de libre passage à Zurich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