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A/1681/2025 vom 18. November 2025</w:t>
      </w:r>
    </w:p>
    <w:p>
      <w:r>
        <w:t>GE Cour de justice, 2025-11-18, FR</w:t>
      </w:r>
    </w:p>
    <w:p>
      <w:r>
        <w:rPr>
          <w:b/>
        </w:rPr>
        <w:t xml:space="preserve">Quelle: </w:t>
      </w:r>
      <w:r>
        <w:t>https://mcp.opencaselaw.ch/entscheid/ge_gerichte_A_1681_2025</w:t>
      </w:r>
    </w:p>
    <w:p>
      <w:r>
        <w:t>FR: GE_GERICHTE A/1681/2025 du 18 novembre 2025</w:t>
      </w:r>
    </w:p>
    <w:p>
      <w:r>
        <w:t>IT: GE_GERICHTE A/1681/2025 del 18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trente jours (art. 60 al. 1 LPGA ; art. 62 al. 1 LPA). En l’occurrence, la décision litigieuse a été notifiée au recourant le 28 mars 2025 et le délai de recours a couru jusqu’au samedi 12 avril 2025. Compte tenu de la suspension des délais du 7 e jour avant Pâques au 7 e jour après Pâques – soit du 13 au 27 avril 2025 inclus –, le délai de recours a été prorogé jusqu’au lundi 28 avril 2025, par application cumulative des art. 38 al. 4 let. a LPGA (arrêts du Tribunal fédéral 4A_190/2019 du 8 octobre 2019 consid. 1.1 ; 9C_413/2011 du 15 mai 2012 consid. 5.3 ; 5A_144/2007 du 18 octobre 2007 consid. 1). Posté le 12 mai 2025, le recours a été interjeté en temps utile. Comme il respecte également les conditions de forme prévues par l’art. 61 let. b LPGA (cf. art. 89B LPA), il est recevable.</w:t>
      </w:r>
    </w:p>
    <w:p>
      <w:r>
        <w:rPr>
          <w:b/>
        </w:rPr>
        <w:t>E. 2</w:t>
      </w:r>
    </w:p>
    <w:p>
      <w:r>
        <w:t>Le litige porte sur le bien-fondé de la décision de l’intimé supprimant le droit du recourant à la rente entière qui lui était allouée et refusant les mesures professionnelles.</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88a RAI (arrêts du Tribunal fédéral 8C_55/2023 du 11 juillet 2023 consid. 2.2 ; 8C_644/2022 du 8 février 2023 consid. 2.2.3). Selon cette disposition,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w:t>
      </w:r>
    </w:p>
    <w:p>
      <w:r>
        <w:rPr>
          <w:b/>
        </w:rPr>
        <w:t>E. 3.2</w:t>
      </w:r>
    </w:p>
    <w:p>
      <w:r>
        <w:t>En l’occurrence, la décision litigieuse a été rendue après le 1 er janvier 2022. Par ailleurs, l’intimé se prévaut d’un changement de circonstance qui serait survenu en juillet 2024. Par conséquent, les dispositions légales applicables seront citées dans leur nouvelle teneur.</w:t>
      </w:r>
    </w:p>
    <w:p>
      <w:r>
        <w:rPr>
          <w:b/>
        </w:rPr>
        <w:t>E. 4</w:t>
      </w:r>
    </w:p>
    <w:p>
      <w:r>
        <w:t>Selon l’art. 17 LPGA dans sa teneur depuis le 1 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w:t>
      </w:r>
    </w:p>
    <w:p>
      <w:r>
        <w:rPr>
          <w:b/>
        </w:rPr>
        <w:t>E. 5</w:t>
      </w:r>
    </w:p>
    <w:p>
      <w:r>
        <w:t>L'invalidité est une notion économique et non médicale, où sont prises en compte les répercussions de l'atteinte à la santé sur la capacité de gain (arrêt du Tribunal fédéral des assurances I 15/06 du 21 décembre 2006 consid. 2.2).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6.2</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6.3</w:t>
      </w:r>
    </w:p>
    <w:p>
      <w:r>
        <w:t>Sans remettre en cause le principe de la libre appréciation des preuves, le Tribunal fédéral a posé des lignes directrices en ce qui concerne la manière d'apprécier certains types d'expertises ou de rapports médicaux.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La prise en compte d'un revenu accessoire suppose un lien entre l'atteinte à la santé et la cessation de l'activité s'y rapportant (arrêt du Tribunal fédéral 8C_274/2009 du 3 décembre 2009 consid. 6 et les références). Pour déterminer le revenu d'invalide de l'assuré, il faut en l'absence d'un revenu effectivement réalisé se référer aux données salariales, telles qu'elles résultent de l’Enquête suisse sur la structure des salaires (ci-après :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le recourant fait valoir qu’il présente une totale incapacité de travail, son état de santé ne s’étant pas amélioré, ce qui implique que le droit à la rente entière d’invalidité devrait être maintenu, subsidiairement, il aurait droit à un reclassement. L’intimé pour sa part s’appuie sur les conclusions du SMR et estime que le marché équilibré du travail offre des activités sans formation compatibles avec les limitations fonctionnelles du recourant.</w:t>
      </w:r>
    </w:p>
    <w:p>
      <w:r>
        <w:rPr>
          <w:b/>
        </w:rPr>
        <w:t>E. 9.2</w:t>
      </w:r>
    </w:p>
    <w:p>
      <w:r>
        <w:t>En premier lieu, la Cour de céans rappelle que, par décision du 7 novembre 2007, l’OAI a octroyé au recourant une rente entière d'invalidité du 1 er septembre 2005 au 31 octobre 2006, le SMR estimant qu’il ne pouvait plus exercer son activité habituelle, mais qu'il avait une capacité de travail complète dans une activité adaptée. Le recourant a déposé par la suite plusieurs demandes de prestations, mais l’OAI n’est pas entré en matière, ce dernier n’ayant pas rendu vraisemblable une aggravation de son état de santé. Suite à la demande de septembre 2022, l’OAI a considéré qu’une aggravation avait été rendue vraisemblable en raison des gonalgies bilatérales et des infiltrations au genou droit en juin 2019. Dans son avis du 18 novembre 2024, le SMR a retenu que la capacité de travail du recourant était nulle dans l’activité habituelle de bagagiste depuis au moins le 14 juin 2019, date de l’infiltration du genou droit, et ce de façon définitive en raison des atteintes aux deux genoux, aux deux pieds et aux deux mains. Dans une activité adaptée, la capacité de travail était de 100% depuis le 23 juillet 2024. Cette date était motivée par la stabilité à 6 mois d’intervalle des douleurs chroniques du genou droit, l’écoulement d’un an et demi depuis la pose de la prothèse du genou selon contrôle du 10 juin 2024 et la fin du suivi psychiatrique au 23 juillet 2024. S’agissant des rapports médicaux au dossier, il ressort du dossier que le recourant est suivi par plusieurs services des HUG et par le Dr H______. La Cour de céans considère que, contrairement aux allégations du recourant, ses médecins ont été que questionnés sur sa capacité de travail, cependant seuls les Drs H______ et R______ des HUG se sont prononcés sur ce point, les autres médecins des HUG s’étant essentiellement limités à transmettre leurs rapports de consultation. Dans ses rapports de février 2023 et mars 2024, le Dr H______ concluait à une totale incapacité de travail en raison des atteintes physiques et psychiques. Cependant, dans son rapport du 22 septembre 2024 basé sur la consultation du 23 juillet 2024, la Dre R______ développait que l'état psychique du recourant s'était amélioré depuis l'introduction d'un traitement anti-dépresseur en juin 2024. Elle concluait à une totale capacité de travail sur le plan strictement psychiatrique. Les conclusions du Dr H______ sont ainsi contredites par la Dre R______, laquelle souligne se prononcer uniquement sur le plan psychique. À ce stade, il sied de relever qu'à la lecture du rapport de la Dre R______, cette dernière indique que le suivi psychiatrique auprès des HUG s’est terminé au 23 juillet 2024, il a toutefois été proposé au recourant de poursuivre auprès d’un psychiatre privé. L’intimé n’a pas interpellé le recourant pour savoir si la recommandation de la Dre R______ avait été suivie. Il y a lieu de constater que, selon les éléments au dossier, l'état psychique s’était amélioré au 23 juillet 2024. Toutefois, on ignore ses répercussions avant et après cette date, la Dre R______ se limitant à se prononcer sur la capacité de travail lors de la dernière séance du recourant alors que la décision litigieuse est intervenue bien après. S’agissant des atteintes physiques, comme indiqué précédemment, dans son avis du 18 novembre 2024, le SMR retient que le recourant ne peut plus exercer son activité habituelle depuis juin 2019 à tout le moins, il omet toutefois que, suite à l’instruction de la demande de prestations initiale du recourant, l'activité habituelle était d'ores et déjà proscrite, seule une activité adaptée était possible depuis novembre 2006. Sur le plan physique, le SMR motive l'amélioration par la stabilité des douleurs chroniques au genou droit à 6 mois d'intervalle et l'écoulement d'un an et demi après la pose de la prothèse. Cependant, dans le rapport du 6 décembre 2024, les Drs E______ et S______ mentionnent que l'assuré consulte pour des douleurs au niveau interne et postérieur avec irradiation dans le tibia en péjoration depuis 3 mois. Celles-ci annoncées comme présentes 24h/24h sont majorées s’il marche plus d’un kilomètre. Lors de cette consultation, le recourant indiquait souffrir également de douleurs au niveau du pied droit malgré l’essai de plusieurs semelles orthopédiques. Ainsi, contrairement à ce qui est retenu par le SMR, les douleurs du recourant ne sont pas stables. S’agissant de l’écoulement du temps après la pose de prothèse, le SMR notait lui-même dans son avis qu’au contrôle post-opératoire à un an et demi, il n’y avait pas de franche amélioration. S’agissant des autres atteintes du recourant, dans son rapport du 2 août 2024, le Dr Q______ a indiqué que le recourant était limité s’agissant du port de charges et pour les activités nécessitant une utilisation répétée de la pince. En ce qui concernait l’exercice d’une activité adaptée, il ne pouvait pas se prononcer. Selon son appréciation, les douleurs au niveau des mains n'influençaient que marginalement la capacité de travail, l’incapacité de travail étant principalement liée à la gonalgie droite qui n’avait pas été examinée lors des consultations en rhumatologie. Par ailleurs, la Cour de céans constate que l’intimé n’a pas investigué les douleurs annoncées aux niveaux des coudes, des épaules, des hanches, des cervicales et des lombaires, ces dernières étant considérées d’allure mécanique sans autre précision quant à leurs répercussions selon le rapport des HUG du 5 avril 2024. Il sied de relever que, dans ledit rapport, le Prof. O______ et la Dre P______ ont noté que l’examen clinique de l’épaule droite a mis en évidence des signes compatibles avec un conflit sous-acromial et font état de céphalées chroniques de longue date avec une discrète allodynie du cuir chevelu. Au vu de ce qui précède, la Cour de céans considère que les rapports médicaux sont insuffisants pour se prononcer sur l’évolution de l’état de santé du recourant, étant relevé qu’il n’y a pas eu d’appréciation globale de toutes ses atteintes et de leurs répercussions sur la capacité de travail. Par conséquent, les éléments au dossier ne permettent pas de trancher de l’existence ou non d’une amélioration durable de l’état de santé du recourant. Il en résulte qu’un complément d’instruction médical doit être réalisé sous la forme d’une expertise comprenant à tout le moins les volets rhumatologique et orthopédique. Il incombera notamment aux experts de se prononcer sur tous les diagnostics et limitations fonctionnelles, l’influence des différentes atteintes sur la capacité de travail et son éventuelle évolution, en motivant suffisamment leur appréciation. Vu les carences dans l’instruction réalisée par l’Office et de la nécessité d’actualiser le dossier médical du recourant, un renvoi à l’intimé se justifie pour mise en œuvre d’une expertise.</w:t>
      </w:r>
    </w:p>
    <w:p>
      <w:r>
        <w:rPr>
          <w:b/>
        </w:rPr>
        <w:t>E. 10</w:t>
      </w:r>
    </w:p>
    <w:p>
      <w:r>
        <w:t>Il convient en conséquence d’admettre partiellement le recours, d’annuler la décision du 27 mars 2025 et de renvoyer la cause à l’intimé pour instruction complémentaire au sens des considérants et nouvelle décision motivée. Le recourant obtenant partiellement gain de cause, une indemnité de CHF 2'500.- lui sera accordée à titre de participation à ses frais et dépens (art. 61 let. g LPGA ; art. 6 du règlement sur les frais, émoluments et indemnités en matière administrative du 30 juillet 1986 - RFPA - E 5 10.03). Au vu du sort du recours, il y a lieu de condamner l’intimé au paiement d’un émolument de CHF 200.-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