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A/1677/2015 vom 10. Juli 2015</w:t>
      </w:r>
    </w:p>
    <w:p>
      <w:r>
        <w:t>GE Cour de justice, 2015-07-10, FR</w:t>
      </w:r>
    </w:p>
    <w:p>
      <w:r>
        <w:rPr>
          <w:b/>
        </w:rPr>
        <w:t xml:space="preserve">Quelle: </w:t>
      </w:r>
      <w:r>
        <w:t>https://mcp.opencaselaw.ch/entscheid/ge_gerichte_A_1677_2015</w:t>
      </w:r>
    </w:p>
    <w:p>
      <w:r>
        <w:t>FR: GE_GERICHTE A/1677/2015 du 10 juillet 2015</w:t>
      </w:r>
    </w:p>
    <w:p>
      <w:r>
        <w:t>IT: GE_GERICHTE A/1677/2015 del 10 luglio 2015</w:t>
      </w:r>
    </w:p>
    <w:p>
      <w:pPr>
        <w:pStyle w:val="Heading2"/>
      </w:pPr>
      <w:r>
        <w:t>Erwägungen</w:t>
      </w:r>
    </w:p>
    <w:p>
      <w:r>
        <w:rPr>
          <w:b/>
        </w:rPr>
        <w:t>E. 12</w:t>
      </w:r>
    </w:p>
    <w:p>
      <w:r>
        <w:t>septembre 1985 - LPA - E 5 10 - et art. 7 al. 1 du règlement interne de la chambre administrative du 26 septembre 2010). ![endif]&gt;![if&gt;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précités.![endif]&gt;![if&gt; 6) Le recourant fait valoir son intérêt privé à percevoir l’indemnité supprimée, de manière à pouvoir continuer à assumer ses charges financières, en particulier fiscales.![endif]&gt;![if&gt; Il ressort des pièces produites par l’intéressé que son traitement est actuellement fixé en classe 27 annuité 4, représentant un montant mensuel brut de CHF 14'107.-, auquel s’ajoutait jusqu’au 31 mars 2015 l’indemnité prévue par l’art. 23A LTrait abrogé, soit un montant de CHF 1'170.90. Entre le mois de mars et le mois d’avril 2015, son revenu mensuel brut – y compris une indemnité de téléphone portable de CHF 50.- - est ainsi passé de CHF 15'327.90 à CHF 14'251.50, tandis que son revenu mensuel net passait de CHF 12'644.40 à CHF 11'635.80, soit CHF 1'008.60 de moins. Une telle diminution n’est pas négligeable. Le montant disponible demeure toutefois important et ne permet de retenir d’emblée que la suppression de l’indemnité en cause est de nature à compromettre gravement les intérêts financiers du recourant. À cet égard, ce dernier ne fournit pas d’éléments permettant de retenir que la suppression immédiate de l’indemnité perçue jusqu’au 31 mars 2015 entraîne des conséquences particulièrement dommageables. 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 Au vu de ce qui précède, la demande de restitution de l’effet suspensif au recours sera refusée, le sort des frais de la procédure étant réservé jusqu’à droit jugé au fond.![endif]&gt;![if&gt; 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Conseil d'État.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