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A/1677/2014 vom 16. März 2015</w:t>
      </w:r>
    </w:p>
    <w:p>
      <w:r>
        <w:t>GE Cour de justice, 2015-03-16, FR</w:t>
      </w:r>
    </w:p>
    <w:p>
      <w:r>
        <w:rPr>
          <w:b/>
        </w:rPr>
        <w:t xml:space="preserve">Quelle: </w:t>
      </w:r>
      <w:r>
        <w:t>https://mcp.opencaselaw.ch/entscheid/ge_gerichte_A_1677_2014</w:t>
      </w:r>
    </w:p>
    <w:p>
      <w:r>
        <w:t>FR: GE_GERICHTE A/1677/2014 du 16 mars 2015</w:t>
      </w:r>
    </w:p>
    <w:p>
      <w:r>
        <w:t>IT: GE_GERICHTE A/1677/2014 del 16 marzo 2015</w:t>
      </w:r>
    </w:p>
    <w:p>
      <w:pPr>
        <w:pStyle w:val="Heading2"/>
      </w:pPr>
      <w:r>
        <w:t>Erwägungen</w:t>
      </w:r>
    </w:p>
    <w:p>
      <w:r>
        <w:rPr>
          <w:b/>
        </w:rPr>
        <w:t>E. 9</w:t>
      </w:r>
    </w:p>
    <w:p>
      <w:r>
        <w:t>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I 321/04 du 18 juillet 2005 consid. 5).</w:t>
      </w:r>
    </w:p>
    <w:p>
      <w:r>
        <w:rPr>
          <w:b/>
        </w:rPr>
        <w:t>E. 10</w:t>
      </w:r>
    </w:p>
    <w:p>
      <w:r>
        <w:t>En l’espèce, il n’est pas contesté que la recourante se rend en Suisse depuis son plus jeune âge pour être prise en charge, en semaine et hors périodes de vacances, par des institutions spécialisées situées dans le canton de Genève. Il est constant également que jusqu’à sa domiciliation officielle chez Mme F______ le 1 er février 2012, la recourante a toujours vécu au domicile de ses parents à Ferney-Voltaire. Bien que les enquêtes aient révélé des informations partiellement contradictoires sur la présence effective de la recourante chez Mmes F______ puis B______, cette présence étant admise par Mme A______ à raison d’une à trois nuits par semaine maximum et niée par son mari, force est de rappeler que pour les personnes qui partagent leur existence entre plusieurs endroits, c’est celui avec lequel l’intéressé a les relations les plus étroites qui l’emporte. Or, que ce soit après le 1 er février 2012 et jusqu’à la date de la décision querellée (et même au-delà), le centre des relations personnelles de l’intéressée se situait toujours en France, pays de la résidence effective de ses deux parents – qui se chargent de son indispensable encadrement – et dans lequel elle passe tous ses week-ends en famille Ce ne sont pas les quelques nuits éventuellement passées chez Mme B______ qui permettent de modifier cette appréciation. Les attaches y sont clairement plus ténues. En atteste notamment le fait que la recourante était amenée chez Mme B______, aux dires de cette dernière, seulement en fin de journée, ayant déjà mangé et étant préparée pour la nuit. Il n'est pas contesté que la recourante et ses parents souhaitent sans doute que cette dernière puisse s'établir en interne au Foyer Clair Bois Pinchat. Cette volonté ne suffit toutefois pas pour constituer un domicile ou un lieu de résidence habituelle, dès lors que l'assurée n'y passe, en l'état, que la journée et pas le week-end. Enfin, le fait que la mère de la recourante soit officiellement domiciliée en Suisse depuis le 1 er octobre 2014 n’est pas pertinent dans le cas d’espèce, car ce fait est postérieur à la situation prévalant à l’époque de la décision querellée. Au regard de ce qui précède, il est établi que la recourante n’était pas domiciliée en Suisse pendant la période concernée par la décision en cause, faute d’avoir dans ce pays le centre de ses relations personnelles. C’est donc à juste titre que l’intimé lui a refusé l’octroi d’une rente extraordinaire d’invalidité.</w:t>
      </w:r>
    </w:p>
    <w:p>
      <w:r>
        <w:rPr>
          <w:b/>
        </w:rPr>
        <w:t>E. 11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e) que la réglementation n'ait pas changé depuis le moment où l'assurance a été donnée (ATF 131 II 627 consid. 6; ATF 129 I 161 consid. 4.1, ATF 126 II 377 consid. 3a et les références citées). En l'espèce, la recourante ne peut se prévaloir du principe de la bonne foi pour obtenir une rente extraordinaire dans la mesure où elle a obtenu précédemment une rente pour impotent qui dépendait des mêmes conditions s'agissant du domicile. La première décision ne saurait en effet lier l'OAI, dès lors qu'elle était fondée sur une domiciliation artificielle de l'assurée à Genève, organisée par ses parents, avec la collaboration de sa curatrice, comme cela ressort clairement des déclarations contradictoires de ces derniers devant la chambre de céans. Le fait que l'allocation pour impotent ait été octroyée était certes susceptible d’éveiller chez les parents de la recourante une attente ou une espérance quant à l'octroi de la rente extraordinaire, mais cette dernière n'était pas légitime, car ces derniers ne pouvaient ignorer que la condition du domicile n'était pas réalisée. S'ils avaient pensé de bonne foi que leur fille était valablement domiciliée en Suisse, ils n'auraient pas éprouvé le besoin de tenter de démontrer qu'elle résidait effectivement chez ses curatrices successives, ce qui n'était manifestement pas le cas.</w:t>
      </w:r>
    </w:p>
    <w:p>
      <w:r>
        <w:rPr>
          <w:b/>
        </w:rPr>
        <w:t>E. 12</w:t>
      </w:r>
    </w:p>
    <w:p>
      <w:r>
        <w:t>En tous points mal fondé, le recours est rejeté. La procédure n'étant plus gratuite depuis le 1 er juillet 2006 (art. 69 al. 1bis LAI), il y a lieu de condamner la recourante au paiement d'un émolument de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