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A/1674/2015 vom 9. März 2016</w:t>
      </w:r>
    </w:p>
    <w:p>
      <w:r>
        <w:t>GE Cour de justice, 2016-03-09, FR</w:t>
      </w:r>
    </w:p>
    <w:p>
      <w:r>
        <w:rPr>
          <w:b/>
        </w:rPr>
        <w:t xml:space="preserve">Quelle: </w:t>
      </w:r>
      <w:r>
        <w:t>https://mcp.opencaselaw.ch/entscheid/ge_gerichte_A_1674_2015</w:t>
      </w:r>
    </w:p>
    <w:p>
      <w:r>
        <w:t>FR: GE_GERICHTE A/1674/2015 du 9 mars 2016</w:t>
      </w:r>
    </w:p>
    <w:p>
      <w:r>
        <w:t>IT: GE_GERICHTE A/1674/2015 del 9 marzo 2016</w:t>
      </w:r>
    </w:p>
    <w:p>
      <w:pPr>
        <w:pStyle w:val="Heading2"/>
      </w:pPr>
      <w:r>
        <w:t>Erwägungen</w:t>
      </w:r>
    </w:p>
    <w:p>
      <w:r>
        <w:rPr>
          <w:b/>
        </w:rPr>
        <w:t>E. 4</w:t>
      </w:r>
    </w:p>
    <w:p>
      <w:r>
        <w:t>Le litige porte sur le droit de la recourante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b/cc.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judiciaire demandée – le cas échéant dans le contexte d’autres rapports médicaux réalisés par des spécialistes – permet ou non une évaluation concluante à la lumière des indicateurs déterminants (ATF 141 V 281 consid. 8). Si tel n’est pas le cas, un renvoi à l’administration pour instruction complémentaire et nouvelle décision est possible (pour un cas d’application : cf. arrêt du Tribunal fédéral 8C_219/2015 du 12 octobre 2015 consid. 5.3).</w:t>
      </w:r>
    </w:p>
    <w:p>
      <w:r>
        <w:rPr>
          <w:b/>
        </w:rPr>
        <w:t>E. 13</w:t>
      </w:r>
    </w:p>
    <w:p>
      <w:r>
        <w:t>En l’espèce, le diagnostic de syndrome douloureux somatoforme persistant (F45.4) a été posé par le Dr H______ dans le cadre de l’évaluation psychiatrique du 6 août 2007. L’hypothèse d’une fibromyalgie a également été émise par la Dresse G______. Hormis la mention « syndrome douloureux somatoforme persistant, versus syndrome de fibromyalgie », figurant au chapitre des diagnostics sans répercussion sur la capacité de travail, cette dernière affection n’est nulle part discutée par la Dresse G______, celle-ci se bornant à relever la présence de « points de fibromyalgie tous positifs » (pièce 29 intimé, p. 11). Pour le surplus, les premiers experts ont considéré que les diagnostics de failed back surgery syndrom et de trouble d’anxiété généralisé à début indéterminé avaient une répercussion sur la capacité de travail, contrairement aux diagnostics de personnalité anxieuse depuis l’adolescence, d’hypertension artérielle traitée, de dyslipidémie et d’hépatolyse discrète. Quant au syndrome douloureux somatoforme persistant, le Dr H______ en réfute le caractère invalidant en tirant notamment argument d’une absence de compliance au paracétamol (Dafalgan) et de traitements antalgiques qui n’auraient pas été prescrits suffisamment longtemps pour permettre d’évaluer leur efficacité, de sorte qu’on ne saurait parler de cristallisation de l’état en raison d’un échec du traitement ou d’une absence de réponse à celui-ci (pièce 29 intimé, p. 21). À cet égard, il importe de souligner que quelques pages plus haut, le même rapport d’expertise mentionne que « lors du premier rendez-vous à mi-juillet, nous avons attiré l’attention de [la recourante] concernant les troubles des fonctions hépatiques probablement en relation avec la prise importante de paracétamol. Nous lui avons conseillé de réduire la posologie » (pièce 29 intimé, p. 14). Le 6 octobre 2010, le SMR considère qu’afin de savoir ce qui limite la recourante dans l’exercice d’une activité adaptée, tenant compte non seulement de l’état après chirurgie du rachis, mais aussi de la fibromyalgie en cours, ainsi que de la dépression, dont il reste à déterminer l’impact durable sur la capacité de travail après traitement suffisant, il est nécessaire de répéter l’expertise rhumato-psychiatrique au même COMAI. S’agissant de cette seconde expertise, on relève en premier lieu qu’une convocation à un examen médical prévu le 22 novembre 2010, à effectuer par la Doctoresse Q______, spécialiste FMH en rhumatologie, ne s’est apparemment pas concrétisée puisque le rapport d’expertise interdisciplinaire du 28 janvier 2011 ne comporte aucune mention ni signature de ce médecin et qu’il se fonde sur les évaluations psychiatrique et de médecine physique du 3 décembre 2010. Ladite expertise, qui avait notamment pour objet de relever les points de fibromyalgie, n’a pas été menée par un rhumatologue mais par un spécialiste FMH en médecine physique et réhabilitation, le Dr K______, lequel a considéré que les points de fibromyalgie étaient de « 6 sur 18 » et les « signes de non-organicité de Waddell tous présents » (pièce 63 intimé, p. 7). S’agissant de l’évaluation psychiatrique menée par la Dresse L______, elle ne retient, à l’exception du trouble somatoforme douloureux, aucun des diagnostics posés par le Dr H______ dans la première évaluation psychiatrique puisqu’il est fait état de troubles de l’adaptation avec réaction dépressive prolongée (F43.21) versus épisode dépressif léger (F32.0) sans que cette praticienne n’explique ses divergences d’appréciation avec l’expert-psychiatre l’ayant précédé. Ainsi, le trouble d’anxiété généralisé avec répercussion sur la capacité de travail, ainsi que la personnalité anxieuse depuis l’adolescence ont purement et simplement « disparu ». Une explication à ce niveau ne ressort pas davantage d’une modification de l’état de santé puisqu’une aggravation par rapport à 2007 n’est admise que d’un point de vue somatique, « surtout au niveau des genoux » (pièce 63 intimé, p. 15). Par ailleurs, la Dresse L______ ne paraît pas au clair sur la présence même d’un syndrome douloureux somatoforme persistant puisqu’il convient, selon elle, d’évoquer « le diagnostic différentiel de majoration des symptômes physiques pour des raisons psychologiques » (pièce 63 intimé, p. 5), soit une affection pour laquelle la jurisprudence relative aux troubles somatoformes douloureux ne s’applique pas par analogie (cf. Circulaire sur l’invalidité et l’impotence dans l’assurance-invalidité [CIIAI], ch. 1017.4 a contrario). Enfin, nonobstant l’aggravation de l’état de santé depuis 2007 constatée dans la seconde expertise, la diminution de rendement de 30% attestée par les premiers experts, attribuée à « l’anxiété générale » (pièce 29 intimé, p. 15), n’est pas admise par leurs successeurs dans le cadre d’une activité exigible exercée à 70%. Il est certes fait état d’une diminution de rendement de l’ordre de 10 à 15%, cette fois en raison d’un épisode dépressif et de douleurs chroniques, mais la recourante n’en bénéficie pas en raison d’une « éventuelle » (sic) majoration des symptômes physiques pour des raisons psychologiques (pièce 63 intimé, p 11 et 21). Là encore, les derniers experts en date n’expliquent pas les raisons les ayant conduits à s’écarter de l’appréciation de leurs prédécesseurs. Enfin, l’affirmation d’une « mise en échec des traitements probablement inconsciente, sans que l’on puisse véritablement parler d’échec thérapeutique » (pièce 63 intimé, p. 10) est pour le moins inconsistante et mal étayée. Dans ses observations du 20 juillet 2015, l’intimé soutient que tous les médecins consultés mettent en avant le syndrome douloureux chronique et qu’aucun des critères de gravité jurisprudentiels n’est retrouvé.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 au moins – prépondérante au moyen des indicateurs standard. Force est de constater que ni la première ni la seconde expertise pluridisciplinaire du COMAI ne permettent de répondre à ces questions.</w:t>
      </w:r>
    </w:p>
    <w:p>
      <w:r>
        <w:rPr>
          <w:b/>
        </w:rPr>
        <w:t>E. 14</w:t>
      </w:r>
    </w:p>
    <w:p>
      <w:r>
        <w:t>Dans son écriture du 20 juillet 2015, l’intimé a indiqué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 Il n’est alors question ni de révision ni de reconsidération. S’agissant du raisonnement tenu par l’intimé, selon lequel la décision contre laquelle l’assuré a interjeté recours le 20 mai 2015,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14 avril 2015 n’étant en l’espèce pas entrée en force, la modification de jurisprudence à laquelle a procédé le Tribunal fédéral dans son arrêt du 3 juin 2015 ne peut être que prise en considération pour résoudre le présent litige.</w:t>
      </w:r>
    </w:p>
    <w:p>
      <w:r>
        <w:rPr>
          <w:b/>
        </w:rPr>
        <w:t>E. 15</w:t>
      </w:r>
    </w:p>
    <w:p>
      <w:r>
        <w:t>Au regard du grand nombre de divergences inexpliquées entre les deux rapports d’expertise du COMAI et des hésitations de l’experte psychiatre L______ dans les diagnostics psychiatriques posés, l’état de fait n’est pas suffisamment élucidé pour pouvoir se prononcer sur l’état de santé de la recourante et les répercussions de celui-ci sur la capacité de travail exigible. Il manque en particulier un rapport d’expertise rhumato-psychiatrique motivant de manière convaincante le degré d’incapacité de travail de la recourante et qui prenne position de façon concluante sur les deux rapports d’expertise du COMAI rendus en 2008, respectivement 2011, notamment sur les appréciations divergentes de ceux-ci en termes d’incapacité de travail et de diminution de rendement. Quant aux autres rapports médicaux versés au dossier, ils ne permettent pas de porter un jugement valable sur le droit litigieux, faute d’envisager les problèmes de santé de la recourante dans leur globalité, c’est-à-dire d’un point de vue psychique et somatique. De plus, ils ne satisfont pas davantage aux critères jurisprudentiels récents en matière de troubles somatoformes douloureux.</w:t>
      </w:r>
    </w:p>
    <w:p>
      <w:r>
        <w:rPr>
          <w:b/>
        </w:rPr>
        <w:t>E. 16</w:t>
      </w:r>
    </w:p>
    <w:p>
      <w:r>
        <w:t>La chambre de céans constate, à la lumière de cette nouvelle jurisprudence, que la présente cause est insuffisamment instruite pour lui permettre de trancher. Il se justifie en conséquence d’admettre le recours, d’annuler la décision du 14 avril 2015 et de renvoyer la cause à l’intimé pour instruction complémentaire au sens des considérants qui précèdent. Cela fait, et avant qu’une nouvelle décision ne soit rendue, il incombera également à l’intimé d’élucider la question du taux d’activité de la recourante avant la survenance de son incapacité de travail et, en cas de confirmation du statut mixte, de procéder à une nouvelle enquête ménagère, celle-ci étant motivée notamment par les changements intervenus dans la composition du ménage depuis la dernière enquête du 6 août 2008. La recourante obtenant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