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A/1664/2006 vom 10. Juli 2006</w:t>
      </w:r>
    </w:p>
    <w:p>
      <w:r>
        <w:t>GE Cour de justice, 2006-07-10, FR</w:t>
      </w:r>
    </w:p>
    <w:p>
      <w:r>
        <w:rPr>
          <w:b/>
        </w:rPr>
        <w:t xml:space="preserve">Quelle: </w:t>
      </w:r>
      <w:r>
        <w:t>https://mcp.opencaselaw.ch/entscheid/ge_gerichte_A_1664_2006</w:t>
      </w:r>
    </w:p>
    <w:p>
      <w:r>
        <w:t>FR: GE_GERICHTE A/1664/2006 du 10 juillet 2006</w:t>
      </w:r>
    </w:p>
    <w:p>
      <w:r>
        <w:t>IT: GE_GERICHTE A/1664/2006 del 10 luglio 2006</w:t>
      </w:r>
    </w:p>
    <w:p>
      <w:pPr>
        <w:pStyle w:val="Heading2"/>
      </w:pPr>
      <w:r>
        <w:t>Erwägungen</w:t>
      </w:r>
    </w:p>
    <w:p>
      <w:r>
        <w:rPr>
          <w:b/>
        </w:rPr>
        <w:t>E. 6</w:t>
      </w:r>
    </w:p>
    <w:p>
      <w:r>
        <w:t>a) En l'occurrence, on ne saurait partager le point de vue de l'OCAI selon lequel l'opposition était manifestement vouée à l'échec. Il y a en effet lieu de constater que, contrairement à ce qu'affirme l'OCAI, la recourante a fourni des éléments susceptibles de remettre en cause les conclusions de l'expertise du Dr A__________ et celles du rapport du SMR LEMAN qui excluent des atteintes psychiques ou somatiques entraînant une incapacité de travail. Le rapport d'expertise du rapport du logopédiste, docteur en psychologie, confirme l'absence d'affection psychiatrique caractérisée mais fait état de dysharmonie psychique où morbidité, peur, phobie et hystérie constituent des éléments de fragilisation qui entraînent des difficultés psychiques variées et irrégulières. Selon lui, la dysharmonie de personnalité et ses enjeux psychosomatiques sont évidents et doivent être pris en compte à titre de facteurs invalidants. De même, le médecin traitant pose le diagnostic de trouble de type nevrotique complexe, structuré entraînant un handicap social majeur d'insertion tant par l'angoisse que par le trouble phonique. Ces atteintes sont en outre confirmées par les rapports produits dans le cadre de la présente procédure notamment par le rapport du Dr J__________, psychiatre, qui conclut que le grave handicap psychique dont souffre la recourante l'empêche de travailler. Ainsi, au vu des problèmes tant psychiques que somatiques dont souffre la recourante, on ne peut exclure d’emblée qu’elle ait encore droit à des prestations de l’assurance-invalidité. Le tribunal de céans considère que l’opposition à la décision de l’OCAI supprimant la rente n’apparaissait dès lors pas dénuée de toute chance de succès. Reste à examiner si les autres conditions d’octroi de l’assistance juridique sont réalisées en l’espèce. b) La procédure de révision présente indéniablement des risques importants pour la recourante puisque sa rente d'invalidité pourrait être supprimée ce qui entraînerait également la suppression des prestations complémentaires versées. Pour ce motif déjà, l'assistance gratuite d'un avocat doit en principe lui être accordée. L'intervention d'un avocat est d'autant plus nécessaire en l'espèce que les problèmes de fait et de droit sont compliqués par une situation médicale complexe, notamment sur le plan psychique. A ces éléments s'ajoute encore la situation personnelle de l'intéressée dont le handicap psychique a entraîné un organisation pathologique de sa vie et qui dépend totalement de sa fille de 14 ans laquelle lui sert d'interprète et assume un rôle de soignante. Dans ces circonstances, l'assistance d'un conseil doit lui être accordée. c) Enfin, il convient d'examiner si la recourante remplit les conditions matérielles de l'assistance juridique. La recourante élève seule sa fille âgée de 14 ans et perçoit pour celle-ci une rente d'orpheline mensuelle de 812 fr. et des allocations familiales de 200 fr. Elle touche par ailleurs des subsides d'assurance-maladie de 426 fr. et des prestations complémentaire d'un montant mensuel de 2'058 fr. La rente d'invalidité a été supprimée par décision du 9 janvier 2006 à partir du deuxième mois qui suit la notification de celle-ci, soit dès le 1 er mars 2006, indépendamment de l'opposition. Le montant des ressources mensuelles de la recourante s'élèvent donc à 3'496 fr. Il convient de déduire de ce revenu le montant de base mensuel selon les directives pour le calcul du minimum vital conformément à la loi sur la poursuite pour dettes et la faillite, augmenté d’un supplément de 30%, soit 2'275 fr., auquel il faut encore ajouter le loyer (847 fr.), les primes d’assurance-maladie (567 fr. 50). Les charges d'une somme totale de 3'689 fr. 50 étant supérieures aux revenus, la recourante remplit les conditions économiques pour avoir droit à l’assistance juridique gratuite dans le cadre de la procédure d’opposition devant l’OCAI. Les trois conditions d’octroi de l’assistance juridique gratuite pour la procédure d’opposition étant réalisées, la recourante doit être mise au bénéfice de l’assistance juridique pour la procédure devant l’OCAI.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