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A/1663/2012 vom 13. September 2012</w:t>
      </w:r>
    </w:p>
    <w:p>
      <w:r>
        <w:t>GE Cour de justice, 2012-09-13, FR</w:t>
      </w:r>
    </w:p>
    <w:p>
      <w:r>
        <w:rPr>
          <w:b/>
        </w:rPr>
        <w:t xml:space="preserve">Quelle: </w:t>
      </w:r>
      <w:r>
        <w:t>https://mcp.opencaselaw.ch/entscheid/ge_gerichte_A_1663_2012</w:t>
      </w:r>
    </w:p>
    <w:p>
      <w:r>
        <w:t>FR: GE_GERICHTE A/1663/2012 du 13 septembre 2012</w:t>
      </w:r>
    </w:p>
    <w:p>
      <w:r>
        <w:t>IT: GE_GERICHTE A/1663/2012 del 13 settembre 2012</w:t>
      </w:r>
    </w:p>
    <w:p>
      <w:pPr>
        <w:pStyle w:val="Heading2"/>
      </w:pPr>
      <w:r>
        <w:t>Volltext</w:t>
      </w:r>
    </w:p>
    <w:p>
      <w:r>
        <w:t>Genève Cour de justice (Cour de droit public) Chambre des assurances sociales 13.09.2012 A/1663/2012</w:t>
      </w:r>
    </w:p>
    <w:p>
      <w:r>
        <w:t>A/1663/2012 ATAS/1120/2012 du 13.09.2012 ( AVS ) , REJETE RÉPUBLIQUE ET CANTON DE GENÈVE POUVOIR JUDICIAIRE A/1663/2012 ATAS/1120/2012 COUR DE JUSTICE Chambre des assurances sociales Arrêt du 13 septembre 2012 3 ème Chambre En la cause Madame A__________, domiciliée à Thônex, représentée par X__________ Sàrl (X________ GE) recourante contre CAISSE CANTONALE GENEVOISE DE COMPENSATION, Service juridique, sise rue des Gares 12, 1201 Genève intimée ATTENDU EN FAIT Que la Cour de céans a été saisie le 25 mai 2012 par Madame A__________ lui demandant « de bien vouloir ordonner son inscription » et se plaignant d’ « un manque de réactivité de l’OCAS » qu’elle qualifiait de déni de justice ; Qu’invitée à se déterminer, la CAISSE CANTONALE GENEVOISE DE COMPENSATION (ci-après : l’intimée), dans sa réponse du 20 juin 2012, a conclu au rejet du recours en expliquant : avoir informé l’assurée en date du 14 décembre 2011, suite à une annonce parue dans la Feuille officielle suisse du commerce (FOSC), que toute personne exerçant une activité professionnelle indépendante avait l’obligation de s’affilier à une caisse de compensation et à une caisse l’allocations familiales, l’avoir invitée à remplir un questionnaire d’affiliation et à produire notamment une copie du bail des locaux commerciaux dans lesquels elle déployait son activité commerciale, que ce n’est qu’en date des 16 et 26 mars 2012 que l’intéressée a fait parvenir à la caisse deux questionnaires d’affiliation illisibles, sans autre document pouvant attester du caractère de son activité, que l’assurée n’a en particulier produit ni carte AVS ni pièce d’identité ni factures ou documents attestant de son activité, ni convention ou contrat de reprise d’activité commerciale, ni contrat de bail, malgré plusieurs demandes de l’intimée en dates des 14 décembre 2011, 23 janvier, 22 février et 5 mars 2012; Que le 5 juillet 2012, la recourante a répliqué en expliquant s’être fait inscrire au Registre du commerce (RC) suite à la reprise d’un bureau de tabac aux Acacias, en sus de deux autres déjà exploités par son mari, d’ores et déjà affilié comme indépendant depuis plusieurs années ; Que la recourante s’est plainte d’être « harcelée » par l’OCAS ; Que par écriture du 22 août 2012, l’intimée a persisté dans ses conclusions ; Qu’une audience de comparution personnelle s’est tenue en date du 13 septembre 2012 au cours de laquelle la recourante a expliqué s’être associée à son époux en 2007 pour exploiter trois bureaux de tabac, récemment réunis sous une même dénomination ; Qu’elle a allégué ne pouvoir produire le contrat de bail de deux de ces commerces puisque son mari et elle-même n’en sont que gérants ; Qu’elle s’est par ailleurs étonnée des demandes de l’intimée, alléguant que la situation devrait être claire puisque son mari est déjà affilié en qualité d’indépendant ; Que l’intimée a expliqué que si le contrat de bail n’est pas indispensable, force est de constater qu’aucun autre document n’a été produit pouvant permettre de qualifier l’activité de la recourante ; Qu’il a invité cette dernière à produire notamment les contrats de travail des cinq employés travaillant dans les bureaux de tabac considérés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la LPGA, entrée en vigueur le 1 er janvier 2003, est applicable au présent litige; Qu'il convient de considérer l'acte du 25 mai 2012 comme un recours pour déni de justice au sens de l'art. 56 al. 2 LPGA, lequel prévoit qu'un recours peut être formé lorsque l'assureur, malgré la demande de l'intéressé, ne rend pas de décision ou de décision sur opposition; Que l'art. 29 al. 1 Cst.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 Qu'il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Qu’en l’espèce, force est de constater que la recourante n’a produit à l’appui de sa demande d’affiliation aucun élément susceptible de permettre à l’intimée de qualifier le type d’activité qu’elle exerce et ce, malgré de réitérées demandes ; Que dans ces conditions, le fait qu’une décision ne soit pas encore intervenue depuis décembre 2011 n’apparaît pas critiquable; Qu'on ne saurait dès lors reprocher le moindre retard à l'intimée puisque cette dernière n’était pas en état de pouvoir statuer; Que le recours devra donc être rejeté; Que la recourante est invitée à faire parvenir à l’intimée les documents réclamés (carte AVS, carte d’identité, contrats de travail des employés, contrats de gérance, contrat de bail du commerce dont elle est propriétaire avec son époux, etc.) le plus rapidement possible à l’intimée afin que cette dernière puisse se déterminer.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