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A/1658/2022 vom 2. März 2023</w:t>
      </w:r>
    </w:p>
    <w:p>
      <w:r>
        <w:t>GE Cour de justice, 2023-03-02, FR</w:t>
      </w:r>
    </w:p>
    <w:p>
      <w:r>
        <w:rPr>
          <w:b/>
        </w:rPr>
        <w:t xml:space="preserve">Quelle: </w:t>
      </w:r>
      <w:r>
        <w:t>https://mcp.opencaselaw.ch/entscheid/ge_gerichte_A_1658_2022</w:t>
      </w:r>
    </w:p>
    <w:p>
      <w:r>
        <w:t>FR: GE_GERICHTE A/1658/2022 du 2 mars 2023</w:t>
      </w:r>
    </w:p>
    <w:p>
      <w:r>
        <w:t>IT: GE_GERICHTE A/1658/2022 del 2 marzo 2023</w:t>
      </w:r>
    </w:p>
    <w:p>
      <w:pPr>
        <w:pStyle w:val="Heading2"/>
      </w:pPr>
      <w:r>
        <w:t>Erwägungen</w:t>
      </w:r>
    </w:p>
    <w:p>
      <w:r>
        <w:rPr>
          <w:b/>
        </w:rPr>
        <w:t>E. 3</w:t>
      </w:r>
    </w:p>
    <w:p>
      <w:r>
        <w:t>Interjeté dans les forme et délai prévus par la loi, le recours est recevable (art. 56ss LPGA ; art. 62 al. 1 de la loi sur la procédure administrative du 12 septembre 1985 [LPA - E 5 10]). ![endif]&gt;![if&gt;</w:t>
      </w:r>
    </w:p>
    <w:p>
      <w:r>
        <w:rPr>
          <w:b/>
        </w:rPr>
        <w:t>E. 4</w:t>
      </w:r>
    </w:p>
    <w:p>
      <w:r>
        <w:t>Le litige porte sur le point de savoir si l'intimé était en droit de refuser d'entrer en matière sur la nouvelle demande de prestations enregistrée le 17 septembre 2021.![endif]&gt;![if&gt;</w:t>
      </w:r>
    </w:p>
    <w:p>
      <w:r>
        <w:rPr>
          <w:b/>
        </w:rPr>
        <w:t>E. 5</w:t>
      </w:r>
    </w:p>
    <w:p>
      <w:r>
        <w:t>![endif]&gt;![if&gt;</w:t>
      </w:r>
    </w:p>
    <w:p>
      <w:r>
        <w:rPr>
          <w:b/>
        </w:rPr>
        <w:t>E. 5.1</w:t>
      </w:r>
    </w:p>
    <w:p>
      <w:r>
        <w:t>![endif]&gt;![if&gt;</w:t>
      </w:r>
    </w:p>
    <w:p>
      <w:r>
        <w:rPr>
          <w:b/>
        </w:rPr>
        <w:t>E. 5.1.1</w:t>
      </w:r>
    </w:p>
    <w:p>
      <w:r>
        <w:t>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125 V 410 consid. 2b ; arrêt du Tribunal fédéral 9C_384/2021 du 25 avril 2022 consid. 3). À cet égard, une appréciation différente de la même situation médicale ne permet pas encore de conclure à l'existence d'une aggravation (ATF 112 V 371 consid. 2b ; arrêt du Tribunal fédéral 9C_748/2013 du 10 février 2014 consid. 4.3).![endif]&gt;![if&gt; Sous l'angle temporel, la comparaison des états de fait a pour point de départ la situation telle qu'elle se présentait au moment où l'administration a rendu sa dernière décision entrée en force (ATF 130 V 64 consid. 2 ; arrêt du Tribunal fédéral 9C_676/2018 du 27 novembre 2018 consid. 2.2). Lorsqu'elle est saisie d'une nouvelle demande, l'administration doit commencer par examiner si les allégations de l'assuré sont, d'une manière générale, plausibles ; à ce stade, la maxime inquisitoire de l’art. 43 al. 1 LPGA ne trouve pas application (ATF 130 V 64 consid. 5.2.5 ; arrêts du Tribunal fédéral 9C_576/2021 du 2 février 2022 consid. 3.2). Si tel n'est pas le cas, l'affaire est liquidée sans autres investigations par un refus d'entrée en matière (arrêts du Tribunal fédéral 9C_576/2021 du 2 février 2022 consid. 2.2 ; 9C_475/2020 du 22 avril 2021 consid. 3.2).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 ; arrêt du Tribunal fédéral 9C_789/2012 du 27 juillet 2013 consid. 2.2).</w:t>
      </w:r>
    </w:p>
    <w:p>
      <w:r>
        <w:rPr>
          <w:b/>
        </w:rPr>
        <w:t>E. 5.1.2</w:t>
      </w:r>
    </w:p>
    <w:p>
      <w:r>
        <w:t>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arrêts du Tribunal fédéral 9C_789/2012 précité consid. 2 et 9C_708/2007 du 11 septembre 2008 consid. 2.3). Son examen se limite, ainsi, au point de savoir si les pièces déposées en procédure administrative justifient ou non la reprise de l'instruction du dossier (arrêt du Tribunal fédéral 9C_789/2012 précité consid. 4.1). ![endif]&gt;![if&gt;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w:t>
      </w:r>
    </w:p>
    <w:p>
      <w:r>
        <w:rPr>
          <w:b/>
        </w:rPr>
        <w:t>E. 5.2</w:t>
      </w:r>
    </w:p>
    <w:p>
      <w:r>
        <w:t>En l'espèce, le recourant invoque une aggravation, depuis août 2021, des vertiges ressentis en lien avec le syndrome de Ménière, rendant nulle sa capacité de travail. ![endif]&gt;![if&gt; Il reproche notamment au SMR de n’avoir retenu, du rapport du Dr D______ du 4 août 2021, que l’évolution favorable de ses douleurs, en négligeant le fait que le traitement médicamenteux a dû être interrompu car il provoquait des vertiges. Il rappelle que, selon ce médecin, sa capacité de travail est nulle. Il souligne que tant le Dr B______, que le Dr D______ ont attesté qu'il souffre d'une polypathologie rendant impossible sa réinsertion. Il invoque les rapports des Dr E______ et G______. Il argue que la maladie de Ménière est le motif principal de sa nouvelle demande et que si elle a certes déjà été évoquée auparavant, elle est devenue, depuis août 2021, totalement invalidante. L’intimé soutient pour sa part que si le traitement de carbamazépine a dû être interrompu en raison des effets secondaires rapportés par l'assuré, il existe d’autres options thérapeutiques ou médicamenteuses, telles que la gabapentine prescrite à l’assuré.</w:t>
      </w:r>
    </w:p>
    <w:p>
      <w:r>
        <w:rPr>
          <w:b/>
        </w:rPr>
        <w:t>E. 5.3</w:t>
      </w:r>
    </w:p>
    <w:p>
      <w:r>
        <w:t>Il est vrai que le syndrome de Ménière a été diagnostiqué en 2019 et qu’il était connu de l'intimé lorsque celui-ci a rendu sa décision initiale, le 12 juillet 2021. ![endif]&gt;![if&gt; Cependant, les crises de vertiges étaient alors décrites comme étant de très courte durée (cf. rapport du Dr D______ du 15 mai 2020) et peu fréquentes (cf. rapport du Dr C______ du 26 mars 2020). Désormais, ainsi qu’en atteste le Dr D______ dans son rapport du 1 er avril 2022, les vertiges sont intenses et persistants et le traitement médicamenteux non satisfaisant. Cette aggravation se retrouve dans l’évaluation de la capacité de travail de l’assuré par ce médecin, qui l’avait jusqu’alors évaluée à 40-50% (cf. rapport du 14 juillet 2020), alors qu’il la juge à présent nulle. Le Dr B______, dans son rapport d'octobre 2021, fait lui aussi mention de vertiges persistants, ce qui démontre que l'arrêt, en août 2021, de la carbamazépine – laquelle aurait pu être à l'origine des vertiges (cf. rapport du Dr D______ du 4 août 2021) –, n'a pas mis fin aux symptômes. En outre, Mme H______, ergothérapeute, fait état d'une dégradation sur le plan psychologique depuis mi-septembre 2021, constat partagé par le Dr B______, qui a relevé, en octobre 2021, un état dépressif. Au vu de ces éléments, bien que la nouvelle demande de prestations ait été formulée fort peu de temps après la décision de refus de l'OAI, il convient d’admettre que le recourant a rendu plausible une aggravation de son état psychique et de ses vertiges, étant rappelé que cela n’augure en rien des conclusions à tirer en termes d’influence sur la capacité de gain et le degré d’invalidité, qu’il conviendra d’investiguer dans un second temps.</w:t>
      </w:r>
    </w:p>
    <w:p>
      <w:r>
        <w:rPr>
          <w:b/>
        </w:rPr>
        <w:t>E. 6</w:t>
      </w:r>
    </w:p>
    <w:p>
      <w:r>
        <w:t>Au vu de ce qui précède, le recours est admis, la décision du 21 avril 2022 annulée et la cause renvoyée à l’intimé pour qu’il entre en matière sur la nouvelle demande du recourant.![endif]&gt;![if&gt;</w:t>
      </w:r>
    </w:p>
    <w:p>
      <w:r>
        <w:rPr>
          <w:b/>
        </w:rPr>
        <w:t>E. 7</w:t>
      </w:r>
    </w:p>
    <w:p>
      <w:r>
        <w:t>Aux termes de l’art. 61 let. g LPGA, le recourant qui obtient gain de cause a droit au remboursement de ses frais et dépens dans la mesure fixée par le tribunal. Une indemnité de dépens de CHF 800.- sera dès lors allouée au recourant, qui est représenté par un mandataire professionnellement qualifié et qui obtient gain de cause (art. 61 let. g LPGA ; art. 6 du règlement sur les frais, émoluments et indemnités en matière administrative du 30 juillet 1986 [RFPA - E 5 10.03]).![endif]&gt;![if&gt;</w:t>
      </w:r>
    </w:p>
    <w:p>
      <w:r>
        <w:rPr>
          <w:b/>
        </w:rPr>
        <w:t>E. 8</w:t>
      </w:r>
    </w:p>
    <w:p>
      <w:r>
        <w:t>Au vu du sort du recours, il y a lieu de condamner l'intimé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