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A/1657/2023 vom 1. April 2025</w:t>
      </w:r>
    </w:p>
    <w:p>
      <w:r>
        <w:t>GE Cour de justice, 2025-04-01, FR</w:t>
      </w:r>
    </w:p>
    <w:p>
      <w:r>
        <w:rPr>
          <w:b/>
        </w:rPr>
        <w:t xml:space="preserve">Quelle: </w:t>
      </w:r>
      <w:r>
        <w:t>https://mcp.opencaselaw.ch/entscheid/ge_gerichte_A_1657_2023</w:t>
      </w:r>
    </w:p>
    <w:p>
      <w:r>
        <w:t>FR: GE_GERICHTE A/1657/2023 du 1 avril 2025</w:t>
      </w:r>
    </w:p>
    <w:p>
      <w:r>
        <w:t>IT: GE_GERICHTE A/1657/2023 del 1 aprile 2025</w:t>
      </w:r>
    </w:p>
    <w:p>
      <w:pPr>
        <w:pStyle w:val="Heading2"/>
      </w:pPr>
      <w:r>
        <w:t>Erwägungen</w:t>
      </w:r>
    </w:p>
    <w:p>
      <w:r>
        <w:rPr>
          <w:b/>
        </w:rPr>
        <w:t>E. 4</w:t>
      </w:r>
    </w:p>
    <w:p>
      <w:r>
        <w:t>Il convient ensuite de déterminer la valeur des actions de la holding, qui constituent des titres non cotés en bourse.</w:t>
      </w:r>
    </w:p>
    <w:p>
      <w:r>
        <w:rPr>
          <w:b/>
        </w:rPr>
        <w:t>E. 4.1</w:t>
      </w:r>
    </w:p>
    <w:p>
      <w:r>
        <w:t>L'impôt sur la fortune a pour objet l'ensemble de la fortune nette (art. 13 al. 1 LHID et 46 LIPP), qui comprend notamment les actions, les obligations et les valeurs mobilières de toute nature (art. 47 let. b LIPP). L’état de la fortune mobilière et immobilière est établi au 31 décembre de l’année pour laquelle l’impôt est dû (art. 49 al. 1 LIPP).</w:t>
      </w:r>
    </w:p>
    <w:p>
      <w:r>
        <w:rPr>
          <w:b/>
        </w:rPr>
        <w:t>E. 4.2</w:t>
      </w:r>
    </w:p>
    <w:p>
      <w:r>
        <w:t>La fortune est estimée à sa valeur vénale (art. 14 al. 1 LHID et art. 49 al. 2 LIPP). La valeur vénale constitue une notion juridique indéterminée qui relève du droit ( ATF 148 I 210 consid. 4.4.3 et les références citées). Elle est la valeur marchande objective d'un actif à un moment donné, soit la valeur qu'un acheteur paierait normalement dans des circonstances normales (arrêts du Tribunal fédéral 2C_954/2020 du 26 juillet 2021 consid. 5.1 ; 2C_1057/2018 du 7 avril 2020 consid. 4.1 ; ATA/919/2022 du 13 septembre 2022 consid. 26a).</w:t>
      </w:r>
    </w:p>
    <w:p>
      <w:r>
        <w:rPr>
          <w:b/>
        </w:rPr>
        <w:t>E. 4.3</w:t>
      </w:r>
    </w:p>
    <w:p>
      <w:r>
        <w:t>L'évaluation selon la valeur vénale est obligatoire pour les cantons. La LHID ne prescrit toutefois pas au législateur cantonal de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précité consid. 26b ; ATA/71/2022 du 25 janvier 2022 consid. 5a).</w:t>
      </w:r>
    </w:p>
    <w:p>
      <w:r>
        <w:rPr>
          <w:b/>
        </w:rPr>
        <w:t>E. 4.4</w:t>
      </w:r>
    </w:p>
    <w:p>
      <w:r>
        <w:t>L'évaluation de titres non cotés fait l'objet de la circulaire n° 28 de la CSI, laquelle édite en outre annuellement le commentaire afin de refléter la pratique et tenir compte de la jurisprudence. Cette circulaire concerne un domaine où les cantons jouissent d'un large pouvoir d'appréciation et la jurisprudence a souligné qu’elle poursuivait un but d'harmonisation fiscale horizontale et concrétisait ainsi l'art. 14 al. 1 LHID. En tant que directive, la circulaire ne constitue certes pas du droit fédéral ou intercantonal, ne crée aucun droit ni aucune obligation et ne lie donc pas le juge (arrêts du Tribunal fédéral 2C_321/2019 du 1 er octobre 2019 consid. 2.3 ; 2C_1082/2013 du 14 janvier 2015 consid. 5.3.1, in RF 70 2015 432 ; 2C_1168/2013 du 30 juin 2014 consid. 3.6, in RDAF 2015 II 34 [rés.]).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précité consid. 4.2 ; 2C_1082/2013 précité consid. 5.3.1). Selon la circulaire n° 28, la valeur des titres correspond à la moyenne pondérée entre la valeur de rendement, doublée, et la valeur intrinsèque déterminée selon le principe de la continuation (ch. 34 de la circulaire n° 28). La valeur de rendement s'obtient par la capitalisation du bénéfice net des exercices déterminants augmenté ou diminué des reprises ou déductions (ch. 8.1 de la circulaire n° 28). Cette méthode est généralement appelée « méthode des praticiens » (arrêts du Tribunal fédéral 2C_1082/2013 précité consid. 5.3.1 ; 2C_309/2013 du 13 septembre 2013 consid. 3.6, in RDAF 2014 II 346 ). Les contrats de droit privé, comme les conventions d'actionnaires qui restreignent la transmissibilité des titres, restent sans influence sur l'estimation de ceux-ci (chap. A/2, ch. 4 de la circulaire n° 28), tout comme les engagements que les parties prennent volontairement (commentaire, p. 6).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(commentaire, p. 16 ss ; arrêts du Tribunal fédéral 2C_866/2019 précité consid. 4.5 ; 2C_1057/2018 précité consid. 4.2.2 ; ATA/530/2020 du 26 mai 2020 consid. 6d).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du 13 octobre 2020 consid. 2h).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conformément au chiffre 5 avec la société (commentaire, p. 4). C’est l’approche « technique » ou « juridique » qui est déterminante pour la valeur vénale et non une approche « économique » subjective. Ainsi, le contribuable concerné ne peut pas soutenir une valeur patrimoniale qui se baserait sur des circonstances individuelles (commentaire, p. 4 et la référence citée).</w:t>
      </w:r>
    </w:p>
    <w:p>
      <w:r>
        <w:rPr>
          <w:b/>
        </w:rPr>
        <w:t>E. 4.5</w:t>
      </w:r>
    </w:p>
    <w:p>
      <w:r>
        <w:t>Le Tribunal fédéral a précisé que l’actionnaire unique qui renonce à se faire rémunérer pour son activité ne saurait se plaindre de ce qu’il en résulte une valeur de rendement et fiscale plus élevée qui serait sans lien avec la réalité. Cette valeur plus élevée est en effet la conséquence du choix économique voire fiscal en lien avec l'imposition du revenu qu’a fait le contribuable de ne pas percevoir de rémunération, augmentant ainsi la valeur de ses titres (arrêt du Tribunal fédéral 2C_866/2019 précité). Dans l'arrêt déjà cité portant sur l'évaluation des actions de l'Étude pour les périodes fiscales 2009 à 2013, le Tribunal fédéral a retenu que la chambre de céans avait confirmé l'application de la méthode dite « des praticiens », mais en tenant compte d'une pondération simple. Ce faisant, elle s'était notamment fondée sur l'arrêt du Tribunal fédéral 2C_866/2019 précité qui portait sur la même question litigieuse et qui concernait les mêmes contribuables (arrêt du Tribunal fédéral 9C_669/2022 précité consid. 6.2). L'évaluation des actions de l'Étude relevait d'une application correcte de la méthode dite « des praticiens », telle que préconisée par la circulaire n° 28 ; même si cette méthode ne liait pas le juge, elle était réputée constituer une méthode adéquate et fiable pour l'estimation de la valeur vénale des titres non cotés en bourse. De plus, l'AFC-GE avait tenu compte de la structure particulière de l'Étude (actionnaire unique dont les résultats dépendaient exclusivement de son activité) en effectuant une pondération simple de la valeur de rendement et non pas doublée de la valeur de rendement contrairement à ce que préconise en principe la méthode dite « des praticiens » ( ibid. , consid. 7).</w:t>
      </w:r>
    </w:p>
    <w:p>
      <w:r>
        <w:rPr>
          <w:b/>
        </w:rPr>
        <w:t>E. 4.6</w:t>
      </w:r>
    </w:p>
    <w:p>
      <w:r>
        <w:t>En l'espèce, la seule différence factuelle entre la situation lors des deux exercices fiscaux considérés, soit 2018 et 2019, et ceux ayant donné lieu aux décisions judiciaires qui précèdent est le transfert des actions de l'Étude à la holding. Dans la mesure où, d'une part, le recourant était l'unique actionnaire des deux sociétés et où, d'autre part, la holding se bornait en 2018 et 2019 à détenir les actions de l’Étude, on ne voit pas en quoi ce transfert modifierait la valeur vénale des actions, lesquelles correspondent en définitive à la même réalité, et avaient du reste la même valeur nominale. Il résulte dès lors des principes rappelés ci-dessus que les principes utilisés par l'intimée pour évaluer les actions litigieuses sont corrects. L'AFC-GE a ainsi utilisé la méthode « des praticiens », tout en prenant une valeur de rendement simple pour tenir compte du fait que la société était tributaire des prestations et performances de son ayant droit et actionnaire dominant. Elle a également recalculé cette valeur (à la baisse) pour l'année 2019. Dans leur dernière écriture, les recourants s'en prennent à ce calcul sur trois points, à savoir que la holding n'avait pas été interpellée avant de procéder à la réévaluation, que l'évaluation ne tenait pas compte du fait que l'Étude était en liquidation, et que l'AFC-GE devant le TAPI n'avait émis aucune observation quant à l'évaluation des titres mais s'était concentrée sur une notion – contestée – d'évasion fiscale. Pour le premier de ces points, les recourants font grand cas du commentaire, qui indique que si l'une des conditions (pour admettre un changement considérable de la situation économique de l'entreprise) est remplie, l'estimation doit être revue avec la société. Ce passage du commentaire a trait au ch. 2.5 de la circulaire n° 28, qui ne prévoit pas une telle collaboration, encore moins de manière obligatoire – étant rappelé que la circulaire n° 28 elle-même ne constitue pas du droit obligatoire quand bien même les principes qu'elle contient constituent selon le Tribunal fédéral une méthode adéquate et fiable pour l'estimation de la valeur vénale des titres non cotés en bourse. Il convient en outre de rappeler que la réévaluation qui a eu lieu en 2019 a débouché sur une baisse de la valeur vénale et était donc favorable aux recourants. Il n'y a dès lors pas lieu d'invalider le calcul effectué par l'intimée pour ce motif. Les recourants semblent également se prévaloir de ce que l'Étude est en liquidation. Toutefois, cette mise en liquidation date de décembre 2023, si bien qu'elle ne saurait avoir d'influence sur la valeur vénale des actions lors des périodes fiscales litigieuses, à savoir 2018 et 2019. Enfin, il a déjà été retenu ci-dessus que la non-application par l'AFC-GE de l'extension de sa pratique et le grief d'évasion fiscale étaient fondés, si bien qu'il n'y a pas lieu d'y revenir. Les griefs en lien avec le calcul de la valeur des titres considérés seront ainsi écartés et le recours, entièrement mal fondé, sera rejeté.</w:t>
      </w:r>
    </w:p>
    <w:p>
      <w:r>
        <w:rPr>
          <w:b/>
        </w:rPr>
        <w:t>E. 5</w:t>
      </w:r>
    </w:p>
    <w:p>
      <w:r>
        <w:t>Vu l'issue du litige, un émolument de CHF 1'000.- sera mis à la charge solidaire des recourants, qui succombent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