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A/1656/2013 vom 30. September 2014</w:t>
      </w:r>
    </w:p>
    <w:p>
      <w:r>
        <w:t>GE Cour de justice, 2014-09-30, FR</w:t>
      </w:r>
    </w:p>
    <w:p>
      <w:r>
        <w:rPr>
          <w:b/>
        </w:rPr>
        <w:t xml:space="preserve">Quelle: </w:t>
      </w:r>
      <w:r>
        <w:t>https://mcp.opencaselaw.ch/entscheid/ge_gerichte_A_1656_2013</w:t>
      </w:r>
    </w:p>
    <w:p>
      <w:r>
        <w:t>FR: GE_GERICHTE A/1656/2013 du 30 septembre 2014</w:t>
      </w:r>
    </w:p>
    <w:p>
      <w:r>
        <w:t>IT: GE_GERICHTE A/1656/2013 del 30 settembre 2014</w:t>
      </w:r>
    </w:p>
    <w:p>
      <w:pPr>
        <w:pStyle w:val="Heading2"/>
      </w:pPr>
      <w:r>
        <w:t>Regeste</w:t>
      </w:r>
    </w:p>
    <w:p>
      <w:r>
        <w:t>IMPÔT CANTONAL ET COMMUNAL ; IMPÔT SUR LA FORTUNE ; DÉDUCTION(SENS GÉNÉRAL) ; ACTIVITÉ LUCRATIVE INDÉPENDANTE ; VITICULTEUR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w:t>
      </w:r>
    </w:p>
    <w:p>
      <w:pPr>
        <w:pStyle w:val="Heading2"/>
      </w:pPr>
      <w:r>
        <w:t>Volltext</w:t>
      </w:r>
    </w:p>
    <w:p>
      <w:r>
        <w:t>Genève Cour de justice (Cour de droit public) Chambre administrative 30.09.2014 A/1656/2013</w:t>
      </w:r>
    </w:p>
    <w:p>
      <w:r>
        <w:t>IMPÔT CANTONAL ET COMMUNAL ; IMPÔT SUR LA FORTUNE ; DÉDUCTION(SENS GÉNÉRAL) ; ACTIVITÉ LUCRATIVE INDÉPENDANTE ; VITICULTEUR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w:t>
      </w:r>
    </w:p>
    <w:p>
      <w:r>
        <w:t>A/1656/2013 ATA/765/2014 du 30.09.2014 sur JTAPI/173/2014 ( ICC ) , PARTIELMNT ADMIS Descripteurs : IMPÔT CANTONAL ET COMMUNAL ; IMPÔT SUR LA FORTUNE ; DÉDUCTION(SENS GÉNÉRAL) ; ACTIVITÉ LUCRATIVE INDÉPENDANTE ; VITICULTEUR Résumé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En fait En droit RÉPUBLIQUE ET CANTON DE GENÈVE POUVOIR JUDICIAIRE A/1656/2013 - ICC ATA/765/2014 COUR DE JUSTICE Chambre administrative Arrêt du 30 septembre 2014 dans la cause ADMINISTRATION FISCALE CANTONALE contre Madame et Monsieur A______ représentés par la société fiduciaire Revisiana SA, mandataire _________ Recours contre le jugement du Tribunal administratif de première instance du 17 février 2014 ( JTAPI/173/2014 ) EN FAIT 1) Madame et Monsieur A______, mariés, exploitent une entreprise individuelle de viticulture à Satigny, à l'enseigne du domaine des « B______ », dont les vignes s'étendent sur près de 34 hectares. À ce titre, ils cultivent le raisin et en assurent sa vinification, avant de vendre leurs crus notamment sous l'« appellation d'origine contrôlée Genève ». 2) Dans leur déclaration fiscale pour l'année 2010, les époux A______ ont inscrit un montant de CHF 280'870.- à titre de déduction sur la fortune commerciale investie (code 51.60) pour l'impôt cantonal et communal (ci-après : ICC), leur fortune professionnelle nette s'élevant à CHF 561'739.-. Le compte de pertes et profits de l'exercice 2010 mentionnait un poste « salaires et charges sociales » d'un montant de CHF 495'809.-. Les produits étaient notamment composés de la vente de vins (CHF 2'199'383.-), de paiements directs (CHF 62'605.-) et de la sous-location de biens immobiliers (CHF 22'420.-). 3) Par bordereau du 6 mars 2013, l'administration fiscale cantonale (ci-après : AFC) a procédé à la taxation des époux A______, ne retenant pas la déduction sociale de CHF 280'870.- indiquée. 4) Le 11 mars 2013, les époux A______ ont formé réclamation contre ce bordereau, sollicitant l'octroi d'une déduction sociale sur la fortune commerciale investie, par CHF 280'870.-, ainsi que l'établissement d'une nouvelle taxation. 5) Par décision du 15 avril 2013, l'AFC a maintenu la taxation litigieuse et rejeté la réclamation des époux A______. L'art. 58 al. 2 de la loi sur l'imposition des personnes physiques du 27 septembre 2009 (LIPP - D 3 08) excluait du cercle des bénéficiaires de la déduction requise les personnes physiques exerçant, à titre indépendant, une profession agricole et sylvicole. 6) Le 22 avril 2013, les époux A______ ont écrit à l'AFC, précisant que le texte de l'art. 58 al. 2 LIPP n'était pas clair, cette disposition étant sujette à interprétation. En particulier, en ne prévoyant aucune exception en faveur des activités agricoles, vinicoles et sylvicoles, celle-ci leur permettait de prétendre à la déduction requise, dont ils remplissaient les conditions. Ainsi, le domaine qu'ils exploitaient était de type viticole, pour lequel ils avaient consenti d'importants investissements, notamment s'agissant de la rénovation des caves et de l'acquisition de machines. Leur activité était commerciale, puisqu'ils étaient amenés à présenter leurs vins lors de foires, que la publicité pour vanter leurs produits était nécessaire et que le marché était fortement concurrentiel, tant du point de vue interne qu'international, étant précisé que la manière de travailler la vigne comportait également un aspect artisanal marqué. 7) Le 17 mai 2013, l'AFC a accusé réception de ce courrier, informant les époux A______ qu'elle le considérait comme un recours et le transmettait au Tribunal administratif de première instance (ci-après : TAPI), dès lors qu'elle avait déjà statué sur leur demande par décision du 15 avril 2013. 8) Par acte du 22 mai 2013, les époux A______ ont recouru auprès du TAPI, concluant à être mis au bénéfice d'une déduction sociale de CHF 280'870.- sur leur fortune. Ils reprenaient en substance leurs précédents arguments, précisant que l'art. 58 al. 2 LIPP avait été adopté pour limiter les conséquences de l'impôt sur la fortune sur les petites entreprises qui devaient consentir des investissements importants, à l'instar de la leur, comme le démontrait le bilan de l'exercice 2010. 9) Dans sa réponse du 28 août 2013, l'AFC a conclu au rejet du recours. Le terme d'« agriculture » s'entendait en particulier de la production d'aliments de provenance végétale ou animale, propre à la région concernée. Les exploitations spécialisées, notamment la viticulture, étaient également concernées par cette définition. Même si le domaine de l'agriculture relevait d'une activité indépendante, elle s'en démarquait néanmoins, d'un point de vue fiscal, en raison de ses particularités. En effet, le sol constituait le facteur de production primaire, l'exploitation était le plus souvent familiale, le commerce, soit l'achat supplémentaire de produits et leur revente, ainsi que les services, notamment la restauration ou les manèges, ne jouaient qu'un rôle secondaire et, enfin, l'imposition du bénéfice en capital provenant de l'aliénation des immeubles affectés à la fortune commerciale différait de celle des autres secteurs de l'économie. Contrairement à ce que soutenaient les époux A______, le texte de l'art. 58 al. 2 LIPP, en n'énumérant pas les activités de type agricole et sylvicole, au même titre d'ailleurs que les professions libérales, était clair. Cette omission, qui ressortait de l'exposé des motifs relatifs à cette disposition, ne relevait pas d'une lacune, mais d'un silence qualifié. D'un point de vue systématique, les art. 19 al. 1 LIPP et 18 al. 1 de la loi fédérale sur l'impôt fédéral direct du 14 décembre 1990 (LIFD - RS 642.11) distinguaient les professions agricoles des activités commerciales, artisanales et industrielles. En ne visant que ces trois dernières professions, la disposition litigieuse excluait ainsi son application aux professions agricoles. Cette solution se justifiait d'ailleurs au regard du principe de la légalité, qui devait être strictement observé en droit fiscal et exigeait que les exonérations, les exemptions, les restitutions ou les déductions aient un caractère exceptionnel et soient prévues par des dispositions devant être interprétées de manière restrictive. 10) Dans leur réplique du 16 septembre 2013, les époux A______ ont persisté dans leurs conclusions. L'activité de viticulteur, qui nécessitait de nombreuses connaissances dans divers domaines, ne se limitait pas à la culture des produits de la terre, dès lors qu'elle nécessitait, une fois le raisin cueilli, de l'élever pour produire des vins de qualité vendus sur un marché dominé par la concurrence. D'un point de vue financier, elle impliquait également des investissements importants, ainsi que des interventions soutenues en matière de publicité, de représentation et de présence à différentes foires, de même que la création d'emplois. Leur profession était dès lors assimilable à celle d'un artisan, avec une composante commerciale. Le logiciel informatique de saisie de leur déclaration fiscale avait d'ailleurs automatiquement calculé la déduction requise, lorsqu'ils avaient mentionné qu'ils exerçaient une activité indépendante d'exploitation du sol. 11) Le 14 octobre 2013, l'AFC a dupliqué, persistant dans les termes de ses précédentes écritures. Elle précisait que le problème soulevé par les époux A______ en lien avec l'utilisation du logiciel informatique de saisie de la déclaration fiscale ne pouvait aller à l'encontre du texte et de l'esprit de la loi. 12) Par jugement du 17 février 2014, le TAPI a admis le recours des époux A______ et renvoyé le dossier à l'AFC pour nouvelle décision de taxation au sens des considérants. Le texte de l'art. 58 al. 2 LIPP ne permettait pas de déterminer si les termes d'exploitations commerciales, artisanales ou industrielles incluaient également les entreprises agricoles et viticoles. Il ressortait des travaux préparatoires relatifs à cette disposition que l'intention du législateur, en englobant toutes les formes d'entreprises ou de sociétés de personnes créant des emplois, était d'offrir une définition large des bénéficiaires de la déduction sur la fortune investie, aucun élément ne permettant d'affirmer qu'il eût voulu en exclure les entreprises agricoles ou viticoles. S'agissant en particulier des époux A______, leur domaine était une entreprise, dans laquelle ils avaient investi leur fortune, la comptabilité pour l'exercice 2010 témoignant de la création de places de travail. Ils contribuaient dès lors à l'essor économique du canton, de sorte que leur exploitation était comprise dans la liste de l'art. 58 al. 2 LIPP. Le raisonnement de l'AFC était ainsi erroné, de même que son interprétation de l'art. 19 al. 1 LIPP, dont l'énumération n'était qu'exemplative, de sorte que leur revenu était bien imposable, ainsi que leur fortune, l'art. 30 LIPP s'appliquant à l'ensemble des contribuables qui exerçaient une activité indépendante, y compris agricole et sylvicole, même en l'absence de mention explicite. 13) Par acte du 21 mars 2014, l'AFC a recouru contre ce jugement, reçu pour notification le 21 février 2014, auprès de la chambre administrative de la Cour de justice (ci-après : la chambre administrative), concluant à son annulation et à la confirmation de sa décision du 15 avril 2013. Elle reprenait la motivation figurant dans ses précédentes écritures, expliquant que le raisonnement du TAPI, qui avait fait abstraction des différentes étapes ayant conduit à l'adoption de l'art. 58 al. 2 LIPP, de même que du caractère particulier des professions agricoles, ne pouvait être suivi. Il ressortait ainsi des travaux préparatoires relatifs à cette disposition, dont la teneur découlait du projet de loi sur l'imposition des personnes physiques (PL 7532) déposé le 30 septembre 1996, que la déduction en question était destinée à tenir compte de l'outil de travail, représenté par un élément de fortune, à savoir l'investissement du contribuable en vue de faire fonctionner son entreprise et générer des emplois, ce qui était le cas des sociétés de personnes, majoritairement des petites et moyennes entreprises. Même si aucune mention n'était faite des activités indépendantes visées, cela n'incluait pas, de facto, les professions agricoles, qui bénéficiaient déjà d'un traitement fiscal privilégié. Par ailleurs, selon la systématique de la loi en matière d'activité indépendante, l'art. 19 al. 1 LIPP, de même que l'art. 18 al. 1 LIFD, distinguait les professions agricoles de celles exercées à titre commercial, artisanal ou industriel, en les citant expressément et en imposant tous les revenus provenant d'une telle exploitation. Ainsi, tout revenu que la loi n'excluait pas de son champ d'application était imposable, indépendamment de sa nature et de sa forme. En revanche, les exonérations, exemptions, restitutions ou déductions, de par leur caractère exceptionnel, devaient être expressément prévues par la loi, dont l'interprétation était restrictive. De plus, les règles d'évaluation de la fortune étaient, de manière générale, plus favorables pour les personnes exerçant une activité indépendante. Bien que l'agriculture fût une activité indépendante parmi d'autres, son traitement fiscal l'en démarquait en raison de ses particularités, notamment s'agissant des immeubles affectés à l'usage agricole ou sylvicole, estimés à leur valeur de rendement, et non à leur valeur vénale, ou des bénéfices provenant de leur aliénation. Les professions agricoles bénéficiaient ainsi déjà d'une imposition ad hoc, de sorte que la volonté du législateur n'était pas de les favoriser encore davantage par rapport aux activités commerciales, artisanales ou industrielles. Si tel avait été le cas, l'art. 58 al. 2 LIPP les aurait mentionnées. En admettant le contraire, le TAPI avait procédé à une interprétation extensive de la loi, en violation du principe de la légalité. 14) Le 26 mars 2014, le TAPI a transmis son dossier, sans formuler d'observations. 15) Dans leur réponse du 9 avril 2014, les époux A______ ont conclu à la confirmation du jugement entrepris. Ils s'étonnaient du recours de l'AFC, qui se perdait en conjectures, et dont les écritures étaient contradictoires. Ils se référaient pour le surplus au jugement du TAPI, les premiers juges ayant correctement saisi les implications pratiques de leur requête, à savoir que l'activité d'un vigneron, dans toutes ses facettes, était de type artisanal et commercial, ce qui leur donnait le droit de prétendre à la déduction sollicitée.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 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 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4)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 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 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 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 Quant à l'art. 19 al. 1 LIPP, il a repris la teneur de l'ancien art. 3 de la loi sur l'imposition des personnes physiques - impôt sur le revenu, revenu imposable, du 22 septembre 2000 (aLIPP-IV - D 3 14), dont le texte a lui-même été calqué sur celui de l'art. 18 al. 1 LIFD (MGC 2000 2/I 387). 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 ATA/510/2004 du 8 juin 2004 ; Xavier OBERSON, Droit fiscal suisse, 4 ème éd., 2012, p. 172 n. 275). 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5)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 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 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 Au titre des déductions sociales, l'art. 58 al. 2 LIPP accorde notamment une déduction égale à la moitié des éléments de fortune investis dans l'exploitation commerciale, artisanale ou industrielle du contribuable, au prorata de sa participation, mais au maximum CHF 500'000.-. 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 Cette disposition a toutefois été abrogée lors de l'entrée en vigueur, le 1 er janvier 2001, de la loi sur l'imposition des personnes physiques, impôt sur la fortune, du 22 septembre 2000 (aLIPP-III - D 3 13), dès lors qu'il a été considéré qu'elle n'était pas conforme à l'art. 13 LHID, qui ne prévoyait pas une telle exonération (MGC 1999 45/VIII 7422). 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 Le législateur a toutefois renoncé à introduire une telle disposition dans l'aLIPP-III au regard de la baisse probable des recettes fiscales et de l'existence d'autres moyens, en particulier la promotion économique, permettant d'atteindre le même résultat (MGC 2008-2009/IX A 11697). 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6) 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 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7) En l'espèce, les intimés exercent la profession de vignerons sous la forme d'une entreprise individuelle, en qualité d'indépendants. Pour ce motif, les premiers juges ont considéré qu'ils pouvaient bénéficier, au titre de l'impôt sur la fortune, de la déduction de l'art. 58 al. 2 LIPP en raison des éléments de la fortune investis dans l'exploitation commerciale, artisanale ou industrielle, leur entreprise étant au surplus génératrice d'emplois. Un tel raisonnement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 Le sens de l'art. 58 al. 2 LIPP ne correspond toutefois pas non plus à la définition, restrictive, qu'en a donnée l'AFC.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 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 L'art. 58 al. 2 LIPP ne peut ainsi être interprété de manière restrictive, comme l'a fait l'AFC, et ne peut pas être appliqué qu'aux activités strictement « commerciale, artisanale ou industrielle » ni être limité aux dénominations historiques utilisées, sans égard à l'évolution des professions envisagées. Tel est en particulier le cas de celle des intimés ; même si son aspect agricole est indéniable, elle comporte également une part artisanale ayant trait à la fabrication du vin et un aspect commercial concernant la vente de la production, ce qui doit être pris en compte pour déterminer si la déduction de l'art. 58 al. 2 LIPP peut leur être octroyée.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 Il en résulte que le champ d'application de l'art. 58 al. 2 LIPP doit être déterminé au regard de la forme de l'activité envisagée, en prenant en compte sa spécificité, étant précisé que toutes celles énumérées par les art. 19 LIPP et 18 LIFD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 Il n'appartient toutefois pas à la chambre de céans d'effectuer une telle casuistique, mais à l'AFC,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 arrêtera enfin le montant de l'ICC des intimés pour l'exercice 2010 en conséquence. 8) Par conséquent, le recours sera partiellement admis. Le jugement entrepris, la décision sur réclamation du 15 avril 2013 ainsi que le bordereau de taxation du 6 mars 2013 pour l'ICC 2010 seront annulés et le dossier renvoyé à l'AFC pour nouvelle décision de taxation au sens des considérants. 9) Malgré l'issue du litige, aucun émolument ne sera mis à la charge des intimés, ceux-ci n'ayant pas pris de conclusions devant la chambre de céans ( ATA/552/2014 du 17 juillet 2014), et aucune indemnité de procédure ne sera allouée (art. 87 LPA). PAR CES MOTIFS LA CHAMBRE ADMINISTRATIVE à la forme : déclare recevable le recours interjeté le 21 mars 2014 par l'administration fiscale cantonale contre le jugement du Tribunal administratif de première instance du 17 février 2014 ; au fond : l'admet partiellement ; annule le jugement du Tribunal administratif de première instance du 17 février 2014 ; annule la décision sur réclamation de l'administration fiscale cantonale du 15 avril 2013 ; annule le bordereau de taxation de l'administration fiscale cantonale concernant l'impôt cantonal et communal 2010 du 6 mars 2013 ; renvoie la cause à l'administration fiscale cantonale pour nouvelle décision de taxation au sens des considérants.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la société fiduciaire Revisiana SA, mandataire de Madame et Monsieur A______, ainsi qu'au Tribunal administratif de première instance.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