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A/1655/2013 vom 13. Juni 2013</w:t>
      </w:r>
    </w:p>
    <w:p>
      <w:r>
        <w:t>GE Cour de justice, 2013-06-13, FR</w:t>
      </w:r>
    </w:p>
    <w:p>
      <w:r>
        <w:rPr>
          <w:b/>
        </w:rPr>
        <w:t xml:space="preserve">Quelle: </w:t>
      </w:r>
      <w:r>
        <w:t>https://mcp.opencaselaw.ch/entscheid/ge_gerichte_A_1655_2013</w:t>
      </w:r>
    </w:p>
    <w:p>
      <w:r>
        <w:t>FR: GE_GERICHTE A/1655/2013 du 13 juin 2013</w:t>
      </w:r>
    </w:p>
    <w:p>
      <w:r>
        <w:t>IT: GE_GERICHTE A/1655/2013 del 13 giugno 2013</w:t>
      </w:r>
    </w:p>
    <w:p>
      <w:pPr>
        <w:pStyle w:val="Heading2"/>
      </w:pPr>
      <w:r>
        <w:t>Erwägungen</w:t>
      </w:r>
    </w:p>
    <w:p>
      <w:r>
        <w:rPr>
          <w:b/>
        </w:rPr>
        <w:t>E. 2</w:t>
      </w:r>
    </w:p>
    <w:p>
      <w:r>
        <w:t>de sol souple, montage et installation des jeux) ; Pouvoir adjudicateur : Ville de Carouge ; montant du marché : CHF 65'780.- hors taxes ; début de l'exécution du marché : 03.08.2012 ; fin de l'exécution du marché : 28.08.2012. Ces trois références démontraient des compétences en matière de protection de l'environnement, d'utilisation des énergies renouvelables ou de recherche des performances énergétiques, ainsi que des expériences d'application des préceptes écologiques et du développement durable. Sur ce, la cause a été gardée à juger sur effet suspensif. Considérant, en droit, que : Le recours, interjeté dans les dix jours par-devant l'autorité compétente, est prima facie recevable (art. 15 al. 2 et 2bis de l’Accord intercantonal sur les marchés publics du 25 novembre 1994 - AIMP - L 6 05 ; art. 56 al. 1 du règlement sur la passation des marchés publics du 17 décembre 2007 - RMP - L 6 05.01 ; art. 62 al. 1 let. b LPA). 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 er avril 2011, et la jurisprudence citée). Par rapport à l'examen prima facie qui prévaut dans le cadre de l'estimation des chances de succès du recours, celles-ci ne peuvent guère être estimées en l'état. Seule l'appréciation de l'un des trois critères utilisés est controversée, mais elle est toutefois susceptible de modifier le résultat final des deux offres. En l'absence de tout renseignement donné à ce stade par le pouvoir adjudicateur, la note attribuée à la recourante ne peut être considérée en l'état et a priori comme justifiée. A cet égard, les arguments invoqués par l'appelée en cause dans son écriture ne constituent pour l'instant que des supputations sur les motivations du pouvoir adjudicateur, et ne peuvent dès lors être prises en compte. On ne peut ainsi admettre en l'état que le recours serait manifestement dépourvu de chances de succès. Il convient dès lors de procéder à une pesée des intérêts en présence. Or, en s'en rapportant à justice, la commune d'une part n'invoque aucun intérêt public prépondérant, et d'autre part admet implicitement qu'il n'y a pas d'urgence particulière à procéder aux travaux. Comme par ailleurs les intérêts privés des deux soumissionnaires à l'adjudication du marché sont équivalents – ce que l'appelée en cause reconnaît lorsqu'elle décrit son intérêt privé à la conclusion du contrat comme tout aussi légitime et digne de protection que celui de la recourante –, aucun intérêt public ou privé prépondérant ne s'oppose à la restitution de l'effet suspensif au recours. La demande de restitution l'effet suspensif sera dès lors acceptée. Le sort des frais de la procédure sera réservé jusqu'à droit jugé au fond. Enfin, il y a lieu de faire droit à la demande de l'appelée en cause visant à ce que son offre (pièce n° 7 du chargé de la commune) soit soustraite à la consultation de la recourante. En effet, lors de la passation de marchés, le traitement confidentiel des informations doit être respecté (art. 11 let. g AIMP). Les informations mises à disposition par les soumissionnaires, en particulier les secrets d’affaires et de fabrication, sont traitées de façon confidentielle (art. 22 al. 1 RMP). Une telle disposition concrétise la règle générale de l'art. 11 let. g AIMP et respecte par ailleurs les droit et devoir de l'adjudicateur de limiter l'accès au dossier pour garantir l'intérêt de la société adjudicataire de ne pas dévoiler à sa concurrente évincée des secrets d'affaires ou de fabrication (Arrêts du Tribunal fédéral 2D_15/2011 du 31 octobre 2011 consid. 4.2.1 ; 2C_890/2008 du 22 avril 2009 consid. 5.3.3). Par réciprocité et en application des mêmes principes, il se justifie de soustraire également à la consultation de Jacquet l'offre de la recourante (pièces n° 1 à 6 du chargé de la commune), étant précisé que la partie utile à la solution du litige, soit les références présentées par la recourante, figurent en pièces n os</w:t>
      </w:r>
    </w:p>
    <w:p>
      <w:r>
        <w:rPr>
          <w:b/>
        </w:rPr>
        <w:t>E. 5</w:t>
      </w:r>
    </w:p>
    <w:p>
      <w:r>
        <w:t>et 6 du chargé de pièces de celle-ci, lesquelles ont d'ores et déjà été transmises à toutes les parties. Par ailleurs, les autorités ne peuvent fonder leurs décisions sur des pièces auxquelles une partie n'a pas eu accès que si celle-ci a été informée de leur contenu essentiel, a rang constitutionnel (art. 45 al. 3 LPA ; Arrêt du Tribunal fédéral 2C_34/2011 du 30 juillet 2011 consid. 4.2 ; Arrêt du Tribunal fédéral in ZBl 1991 543 consid. 7b). Sur ce point, quels que soient les moyens de preuve sur lesquels se fondera le jugement au fond – et qui sont à l'évidence encore indéterminés – le contenu essentiel de l'offre de l'appelée en cause relativement au point litigieux en l'espèce doit être considéré comme communiqué à la recourante, ce contenu essentiel étant décrit dans la présente décision sous point 10 de la partie en fait. Vu l’art. 66 al. 2 de la loi sur la procédure administrative du 12 septembre 1985 ; vu l’art. 7 al. 1 du règlement de la chambre administrative du 21 décembre 2010 ; LA CHAMBRE ADMINISTRATIVE restitue l’effet suspensif au recours ; soustrait à la consultation de RealSport Group GE S.A. la pièce n° 7 du chargé de la commune d'Onex ; soustrait à la consultation de Jacquet S.A. les pièces n° 1 à 6 du chargé de la commune d'Onex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Jean-Michel Brahier, avocat de la recourante, à la commune d'Onex, ainsi qu’à Me Clarence Peter, avocat de Jacquet S.A., appelée en cause.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