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A/1636/2003 vom 21. April 2004</w:t>
      </w:r>
    </w:p>
    <w:p>
      <w:r>
        <w:t>GE Cour de justice, 2004-04-21, FR</w:t>
      </w:r>
    </w:p>
    <w:p>
      <w:r>
        <w:rPr>
          <w:b/>
        </w:rPr>
        <w:t xml:space="preserve">Quelle: </w:t>
      </w:r>
      <w:r>
        <w:t>https://mcp.opencaselaw.ch/entscheid/ge_gerichte_A_1636_2003</w:t>
      </w:r>
    </w:p>
    <w:p>
      <w:r>
        <w:t>FR: GE_GERICHTE A/1636/2003 du 21 avril 2004</w:t>
      </w:r>
    </w:p>
    <w:p>
      <w:r>
        <w:t>IT: GE_GERICHTE A/1636/2003 del 21 aprile 2004</w:t>
      </w:r>
    </w:p>
    <w:p>
      <w:pPr>
        <w:pStyle w:val="Heading2"/>
      </w:pPr>
      <w:r>
        <w:t>Volltext</w:t>
      </w:r>
    </w:p>
    <w:p>
      <w:r>
        <w:t>Genève Cour de justice (Cour de droit public) Chambre des assurances sociales 23.04.2004 A/1636/2003</w:t>
      </w:r>
    </w:p>
    <w:p>
      <w:r>
        <w:t>A/1636/2003 ATAS/282/2004 du 23.04.2004 ( LPP ) , RETIRE RÉPUBLIQUE ET CANTON DE GENÈVE POUVOIR JUDICIAIRE A/1636/2003 ATAS/282/2004 ARRET DU TRIBUNAL CANTONAL DES ASSURANCES SOCIALES 5 ème chambre du 21 avril 2004 En la cause Madame C__________ recourante contre Monsieur C__________ intimé Vu la demande de Madame C__________ du 28 août 2003, par laquelle celle-ci requiert le blocage de la prestation de sortie de son institution de prévoyance professionnelle ; Vu la lettre de la demanderesse du 8 avril 2004, par laquelle elle retire ladite demande ; Vu l’art. 89 al. 1 de la loi sur la procédure administrative du 12 septembre 1985. PAR CES MOTIFS, LE TRIBUNAL CANTONAL DES ASSURANCES SOCIALES : (conformément à la disposition transitoire de l’art. 162 LOJ) Prend acte du retrait du recours ; Raye la cause du rôle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 Maya CRAMER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