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A/1632/2021 vom 13. September 2022</w:t>
      </w:r>
    </w:p>
    <w:p>
      <w:r>
        <w:t>GE Cour de justice, 2022-09-13, FR</w:t>
      </w:r>
    </w:p>
    <w:p>
      <w:r>
        <w:rPr>
          <w:b/>
        </w:rPr>
        <w:t xml:space="preserve">Quelle: </w:t>
      </w:r>
      <w:r>
        <w:t>https://mcp.opencaselaw.ch/entscheid/ge_gerichte_A_1632_2021</w:t>
      </w:r>
    </w:p>
    <w:p>
      <w:r>
        <w:t>FR: GE_GERICHTE A/1632/2021 du 13 septembre 2022</w:t>
      </w:r>
    </w:p>
    <w:p>
      <w:r>
        <w:t>IT: GE_GERICHTE A/1632/2021 del 13 settembre 2022</w:t>
      </w:r>
    </w:p>
    <w:p>
      <w:pPr>
        <w:pStyle w:val="Heading2"/>
      </w:pPr>
      <w:r>
        <w:t>Erwägungen</w:t>
      </w:r>
    </w:p>
    <w:p>
      <w:r>
        <w:rPr>
          <w:b/>
        </w:rPr>
        <w:t>E. 2</w:t>
      </w:r>
    </w:p>
    <w:p>
      <w:r>
        <w:t>Interjeté dans les formes et délai prévus par la loi, le recours est recevable (art. 56 à 61 LPGA, 36 de la loi d'application de la loi fédérale sur l'assurance-maladie du 29 mai 1997 [LaLAMal - J 3 05] et 89B de la loi sur la procédure administrative du 12 septembre 1985 [LPA-GE - E 5 10]).![endif]&gt;![if&gt;</w:t>
      </w:r>
    </w:p>
    <w:p>
      <w:r>
        <w:rPr>
          <w:b/>
        </w:rPr>
        <w:t>E. 3</w:t>
      </w:r>
    </w:p>
    <w:p>
      <w:r>
        <w:t>![endif]&gt;![if&gt;</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précité consid. 4a).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 ATF 122 V 36 consid. 2a et les références).</w:t>
      </w:r>
    </w:p>
    <w:p>
      <w:r>
        <w:rPr>
          <w:b/>
        </w:rPr>
        <w:t>E. 3.2</w:t>
      </w:r>
    </w:p>
    <w:p>
      <w:r>
        <w:t>En l'occurrence, le recours de l'intéressée a pour objet la contestation de l'entier de la décision sur opposition rendue le 22 avril 2022 par l'assurance-maladie qui se déclare fondée à requérir la continuation de la poursuite n° 3______ pour le montant de CHF 2'175.30 comprenant les primes de janvier à juin 2020 et les frais administratifs, auxquels s'ajoutent les intérêts moratoires (de 5 % l'an) – mais frais de poursuite non compris –, sommes considérées comme dues par la caisse. L’objet de la contestation et l’objet du litige sont ainsi identiques.![endif]&gt;![if&gt; La recourante cherche en outre à lier à cet objet du litige sa contestation de l'obligation de participer, en l'absence de dépassement de sa franchise, au coût du traitement du 1 er novembre 2019 facturé à concurrence de CHF 1'549.85 par l'hôpital fribourgeois. Elle vise apparemment soit à bloquer le règlement des primes dues jusqu'à renonciation par l'intimée à lui demander cette participation aux coûts d'une prestation médicale, soit à ce que la chambre de céans statue sur le principe et l'étendue de ladite participation ou ordonne à l'intimée de statuer sur celle-ci. Ce point sera examiné plus bas.</w:t>
      </w:r>
    </w:p>
    <w:p>
      <w:r>
        <w:rPr>
          <w:b/>
        </w:rPr>
        <w:t>E. 4</w:t>
      </w:r>
    </w:p>
    <w:p>
      <w:r>
        <w:t>![endif]&gt;![if&gt;</w:t>
      </w:r>
    </w:p>
    <w:p>
      <w:r>
        <w:rPr>
          <w:b/>
        </w:rPr>
        <w:t>E. 4.1</w:t>
      </w:r>
    </w:p>
    <w:p>
      <w:r>
        <w:t>Un des buts principaux de la LAMal est de rendre l'assurance-maladie obligatoire pour l'ensemble de la population en Suisse (ATF 125 V 271 consid. 5b).![endif]&gt;![if&gt; Aux termes de l'art. 3 LAMal, toute personne domiciliée en Suisse doit s'assurer pour les soins en cas de maladie, ou être assurée par son représentant légal, dans les trois mois qui suivent sa prise de domicile ou sa naissance en Suisse (al. 1). L'art. 1 al. 1 de l'ordonnance sur l'assurance-maladie (OAMal - RS 832.102) précise que les personnes domiciliées en Suisse au sens des art. 23 à 26 du Code civil suisse du 10 décembre 1907 (CC - RS 210) sont tenues de s'assurer, conformément à l'art. 3 LAMal (cf. aussi art. 13 al. 1 LPGA). Aux termes de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 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La notion de domicile comporte donc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w:t>
      </w:r>
    </w:p>
    <w:p>
      <w:r>
        <w:rPr>
          <w:b/>
        </w:rPr>
        <w:t>E. 4.2</w:t>
      </w:r>
    </w:p>
    <w:p>
      <w:r>
        <w:t>En l'espèce, questionnée par la chambre des assurances sociales concernant son domicile dont la notion – rappelée au consid. 4.1 ci-dessus – était précisée dans la lettre de ladite chambre, l'assurée, sous la plume du mari, a répondu qu'avant l'annonce de départ du territoire genevois le 2 mai 2021 (selon l'attestation de départ établie le 16 juin 2021 par l'OCPM) et notamment en 2020, elle n'avait pas durablement quitté son domicile en Suisse ni n'avait créé un nouveau domicile à l'étranger (par exemple au Brésil).![endif]&gt;![if&gt; Ce à juste titre, dans la mesure où, selon les explications claires de l'époux, l'intention de résider en Suisse, soit de s'y fixer pour une certaine durée, qui devait être reconnaissable pour les tiers et donc ressortir de circonstances extérieures et objectives, n'apparaît pas avoir été modifiée à tout le moins avant la fin du premier semestre 2020, période présentement litigieuse.</w:t>
      </w:r>
    </w:p>
    <w:p>
      <w:r>
        <w:rPr>
          <w:b/>
        </w:rPr>
        <w:t>E. 5</w:t>
      </w:r>
    </w:p>
    <w:p>
      <w:r>
        <w:t>![endif]&gt;![if&gt;</w:t>
      </w:r>
    </w:p>
    <w:p>
      <w:r>
        <w:rPr>
          <w:b/>
        </w:rPr>
        <w:t>E. 5.1</w:t>
      </w:r>
    </w:p>
    <w:p>
      <w:r>
        <w:t>L'obligation faite à toute personne domiciliée en Suisse de s'assurer pour les soins en cas de maladie implique l'obligation de payer des primes (art. 61 al. 1 LAMal ; arrêt du Tribunal fédéral 9C_203/2021 du 2 février 2022 consid. 5). L’obligation de payer les primes constitue la contrepartie de l’obligation de l’assureur d’assumer la prise en charge des événements assurés. Elle est la conséquence juridique impérative de toute affiliation auprès d’une caisse-maladie et s’étend à toute la durée de celle-ci (RJAM 1980 p. 161 ; RJAM 1981 p. 61; ATAS/718/2022 du 19 août 2022 consid. 7.1).![endif]&gt;![if&gt;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ATAS/718/2022 précité consid. 7). En vertu de l'art. 61 al. 1 LAMal, l’assureur fixe le montant des primes à payer par ses assurés. Sauf disposition contraire de la présente loi, l’assureur prélève des primes égales auprès de ses assurés. Par ailleurs, selon l'art. 64 al. 1 LAMal, les assurés participent aux coûts des prestations dont ils bénéficient (al. 1). Leur participation comprend: a. un montant fixe par année (franchise); et b. 10 % des coûts qui dépassent la franchise (quote-part; al. 2).</w:t>
      </w:r>
    </w:p>
    <w:p>
      <w:r>
        <w:rPr>
          <w:b/>
        </w:rPr>
        <w:t>E. 5.2</w:t>
      </w:r>
    </w:p>
    <w:p>
      <w:r>
        <w:t>Dans le cas présent, il est incontesté – et même revendiqué par l'époux – que les primes selon l'art. 61 al. 1 LAMal pour les mois de janvier à juin 2020, pourtant dues et échues, n'ont pas été acquittées.![endif]&gt;![if&gt;</w:t>
      </w:r>
    </w:p>
    <w:p>
      <w:r>
        <w:rPr>
          <w:b/>
        </w:rPr>
        <w:t>E. 6</w:t>
      </w:r>
    </w:p>
    <w:p>
      <w:r>
        <w:t>![endif]&gt;![if&gt;</w:t>
      </w:r>
    </w:p>
    <w:p>
      <w:r>
        <w:rPr>
          <w:b/>
        </w:rPr>
        <w:t>E. 6.1</w:t>
      </w:r>
    </w:p>
    <w:p>
      <w:r>
        <w:t>À teneur de l’art. 64a al. 1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ci-après).![endif]&gt;![if&gt; L'art. 26 al. 1 LPGA (1 ère phrase) prévoit que les créances de cotisations échues sont soumises à la perception d'intérêts moratoires et les créances échues en restitution de cotisations indûment versées sont soumises au versement d'intérêts rémunératoires. L’art. 105a OAMal – qui se trouve dans la section 3a « non-paiement des primes et des participations aux coûts » comme les art. 105b à 105m – prescrit que le taux des intérêts moratoires pour les primes échues selon l’art. 26 al. 1 LPGA s’élève à 5 % par année. Conformément à l’art. 105b OAMal – dans sa teneur en vigueur depuis le 1 er janvier 2012 –,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délais de l’art. 105b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L'art. 105b al. 1 et 2 OAMal vise en effet à empêcher que les assureurs ne tardent trop avant d'entreprendre les démarches nécessaires au recouvrement des primes dues (arrêts du Tribunal fédéral 9C_742/2011 du 17 novembre 2011 consid. 5.2 et 9C_786/2008 du 31 octobre 2008 consid. 3). En outre, selon la jurisprudence, les frais au sens de l'art. 105b al. 2 OAMal,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L'art. 105c OAMal – en vigueur depuis le 1 er janvier 2012 et intitulé "exclusion de la compensation" – précise quant à lui que l’assureur ne peut pas compenser les prestations avec des primes ou des participations aux coûts qui lui sont dues.</w:t>
      </w:r>
    </w:p>
    <w:p>
      <w:r>
        <w:rPr>
          <w:b/>
        </w:rPr>
        <w:t>E. 6.2</w:t>
      </w:r>
    </w:p>
    <w:p>
      <w:r>
        <w:t>En vertu de l'art. 64a al. 2 LAMal, si, malgré la sommation, l’assuré ne paie pas dans le délai imparti les primes – dont le principe est réglé par l’art. 61 LAMal et qui doivent être payées à l’avance et en principe tous les mois (art. 90 OAMal) –, les participations aux coûts – objet de l’art. 64 LAMal – et les intérêts moratoires dus, l’assureur doit engager des poursuites. Le canton peut exiger que l’assureur annonce à l’autorité cantonale compétente les débiteurs qui font l’objet de poursuites.![endif]&gt;![if&gt; Si l'assureur est au bénéfice d'un jugement exécutoire au sens de l'art. 80 de la loi fédérale sur la poursuite pour dettes et la faillite du 11 avril 1889 (LP - RS 281.1),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 aussi – simultanément sur l'annulation de l'opposition comme autorité de mainlevée. Il en va de même des tribunaux – ici la chambre de céans – en cas de recours (ATF 119 V 329 consid. 2b ; arrêt du Tribunal fédéral 9C_903/2009 du 11 décembre 2009 consid. 2.1).</w:t>
      </w:r>
    </w:p>
    <w:p>
      <w:r>
        <w:rPr>
          <w:b/>
        </w:rPr>
        <w:t>E. 6.3</w:t>
      </w:r>
    </w:p>
    <w:p>
      <w:r>
        <w:t>En l'occurrence, après l'exigibilité des primes mensuelles dues pour janvier à juin 2020, l'intimée a tout d'abord adressé à la recourante des "rappels LAMal", puis, le 30 juin 2020, deux sommations au sens des art. 64a LAMal et 105b OAMal (sous l'appellation "mise en demeure concernant la LAMal"). Vu l'absence de tout paiement par l'assurée, l'assurance-maladie a ensuite introduit des poursuites selon la LP à l'encontre de celle-ci, dont elle a levé l'opposition à son commandement de payer (poursuite n° 3______) par décision – initiale – ("décision de mainlevée") du 22 janvier 2021 puis par décision sur opposition rendue le 22 avril 2021, la chambre de céans étant le juge ordinaire au sens de l'art. 79 LP compétent pour confirmer ou non la levée de ladite opposition au commandement de payer en plus de trancher le fond.![endif]&gt;![if&gt; Ces démarches ont été accomplies par la caisse, quant à la forme et au fond, de manière conforme au droit, ce que l'intéressée ne conteste du reste pas. En particulier, les montants qui font l'objet de ladite poursuite doivent être confirmés. En effet, la somme totale des primes dues se monte bien à CHF 2'085.30, soit six fois la prime mensuelle de CHF 347.55. En outre, le montant des frais administratifs de CHF 90.- (qui comprennent ici trois frais de rappel et deux de sommation) réclamés correspondent aux montants de CHF 10.- de frais de rappel et de CHF 30.- de frais de sommation prévus par l'art. 6.3 des "Conditions générales de l'assurance obligatoire des soins et de l'assurance facultative d'indemnités journalières au sens de la LAMal" (ci-après : les conditions générales) de l'intimée entrées en vigueur le 1 er janvier 2018, comme cela ressort aussi du "décompte 2020" produit avec la réponse au fond de celle-ci, et il est approprié au sens de l'art. 105b al. 2 OAMal. Enfin, la date de départ de l'intérêt moratoire de 5 % sur les six primes en cause, fixée par la caisse au 15 mars 2020 en application des art. 26 al. 1 LPGA et 105a OAMal, correspond à l'échéance moyenne, et ne prête pas le flanc à la critique.</w:t>
      </w:r>
    </w:p>
    <w:p>
      <w:r>
        <w:rPr>
          <w:b/>
        </w:rPr>
        <w:t>E. 7</w:t>
      </w:r>
    </w:p>
    <w:p>
      <w:r>
        <w:t>![endif]&gt;![if&gt;</w:t>
      </w:r>
    </w:p>
    <w:p>
      <w:r>
        <w:rPr>
          <w:b/>
        </w:rPr>
        <w:t>E. 7.1</w:t>
      </w:r>
    </w:p>
    <w:p>
      <w:r>
        <w:t>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ATAS/205/2021 du 8 mars 2021 consid. 6b/aa; Milan KRYKA, Die Verrechnung in Konkurs, Nachlassverfahren und Konkursaufschub, in SSHW - Schweizer Schriften zum Handels- und Wirtschaftsrecht, 2011, n. 302, p. 22).![endif]&gt;![if&gt;</w:t>
      </w:r>
    </w:p>
    <w:p>
      <w:r>
        <w:rPr>
          <w:b/>
        </w:rPr>
        <w:t>E. 7.2</w:t>
      </w:r>
    </w:p>
    <w:p>
      <w:r>
        <w:t>En l'espèce, en cherchant à bloquer le règlement des primes de janvier à juin 2020 dues jusqu'à renonciation par l'intimée à lui réclamer la participation, en l'absence de dépassement de sa franchise, au coût du traitement du 1 er novembre 2019 facturé à concurrence de CHF 1'549.85 par l'hôpital fribourgeois, la recourante ne fait pas valoir une créance – qui seule pourrait être éventuellement à la base d'une compensation en application de l'art. 120 CO –, dans la mesure où cette participation est bien plutôt une créance de l'intimée à son encontre en vertu de l'art. 64 al. 1 et 2 LAMal.![endif]&gt;![if&gt; Au demeurant, même si elle avait disposé d'une créance à l'encontre de la caisse, l'intéressée n'était quoi qu'il en soit pas en droit de s'abstenir de payer les primes pour les mois de janvier à juin 2020 et d'opposer la compensation. En effet, l'art. 125 ch. 3 CO et la jurisprudence y relative prévoient qu'un particulier ne peut éteindre sa dette, par compensation, contre la volonté de son assurance-maladie. Or, l'art. 7.2 des conditions générales de l'intimée entrées en vigueur le 1 er janvier 2018 prévoit expressément que l'assuré ne dispose d'aucun droit de compensation de ses dettes avec ses créances à l'encontre de l'assurance-maladie. En d'autres termes, l'intimée refuse par principe la compensation ( ATAS/205/2021 précité consid. 6c) et a du reste explicitement refusé dans le cas présent tout conditionnement du paiement des primes au règlement de la question de la participation aux coûts. L'assurée ne peut en conséquence tirer dans le cadre du présent litige aucun argument ou conclusion en sa faveur de sa contestation de sa participation à la facture de l'hôpital fribourgeois.</w:t>
      </w:r>
    </w:p>
    <w:p>
      <w:r>
        <w:rPr>
          <w:b/>
        </w:rPr>
        <w:t>E. 8</w:t>
      </w:r>
    </w:p>
    <w:p>
      <w:r>
        <w:t>![endif]&gt;![if&gt;</w:t>
      </w:r>
    </w:p>
    <w:p>
      <w:r>
        <w:rPr>
          <w:b/>
        </w:rPr>
        <w:t>E. 8.1</w:t>
      </w:r>
    </w:p>
    <w:p>
      <w:r>
        <w:t>Dans l'hypothèse où les griefs de la recourante relatifs à sa participation, en l'absence de dépassement de sa franchise, au coût du traitement du 1 er novembre 2019 facturé à concurrence de CHF 1'549.85 par l'hôpital fribourgeois tendaient à ce que la chambre de céans statue sur le principe et l'étendue de cette participation ou – plutôt – ordonne à l'intimée de statuer sur celle-ci, ladite chambre ne pourrait en tout état de cause pas être compétente pour statuer sur une telle demande et cette dernière serait irrecevable.![endif]&gt;![if&gt; Ceci vaut y compris en référence éventuellement à l'art. 56 al. 2 LPGA, à teneur duquel le recours peut aussi être formé lorsque l'assureur, malgré la demande de l'intéressé, ne rend pas de décision ou de décision sur opposition (déni de justice).</w:t>
      </w:r>
    </w:p>
    <w:p>
      <w:r>
        <w:rPr>
          <w:b/>
        </w:rPr>
        <w:t>E. 8.2</w:t>
      </w:r>
    </w:p>
    <w:p>
      <w:r>
        <w:t>En effet, d'une part, aucune règle de droit ne prévoit une éventuelle compétence de la chambre de céans pour statuer sur un éventuel différend entre l'assurée et l'hôpital fribourgeois (fournisseur de soins) relativement à une facturation pour des soins.![endif]&gt;![if&gt; D'autre, part, la participation au coût du traitement de l'hôpital fribourgeois ne constitue pas une prestation (de quelque nature que ce soit) que l'intéressée réclamerait de la caisse, mais une dette de la recourante à l'égard de l'intimée dont cette dernière a jusqu'à présent suspendu l'exigence de paiement dans l'attente en particulier d'une clarification ou d'une issue apparemment quant à la contestation de l'assurée auprès de l'hôpital fribourgeois au sujet de la facture de ce dernier.</w:t>
      </w:r>
    </w:p>
    <w:p>
      <w:r>
        <w:rPr>
          <w:b/>
        </w:rPr>
        <w:t>E. 8.3</w:t>
      </w:r>
    </w:p>
    <w:p>
      <w:r>
        <w:t>On peut se référer, à tout le moins par analogie, à l'art. 49 al. 2 LPGA, en vertu duquel, si le requérant rend vraisemblable un intérêt digne d'être protégé, l'assureur rend une décision en constatation.![endif]&gt;![if&gt; Or, selon la jurisprudence, un intérêt digne d'être protégé au sens de cet art. 49 al. 2 LPGA existe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Valérie DÉFAGO GAUDIN, in Commentaire romande, LPGA, 2018, n. 23 ad art. 49 LPGA).</w:t>
      </w:r>
    </w:p>
    <w:p>
      <w:r>
        <w:rPr>
          <w:b/>
        </w:rPr>
        <w:t>E. 8.4</w:t>
      </w:r>
    </w:p>
    <w:p>
      <w:r>
        <w:t>En l'espèce, on ne voit pas quel intérêt digne d'être protégé aurait la recourante, par l'intermédiaire de l'époux, pour réclamer le prononcé par l'intimée d'une décision au sujet de sa participation au coût du traitement auprès de l'hôpital fribourgeois. Elle doit en effet prendre en considération le fait que le montant de CHF 1'549.85 (ou CHF 1'549.75) pourrait le cas échéant être à nouveau réclamé par l'assurance-maladie dans un futur plus ou moins proche, et la suspension actuelle de cette réclamation par la caisse apparaît être dans l'intérêt de l'intéressée.![endif]&gt;![if&gt;</w:t>
      </w:r>
    </w:p>
    <w:p>
      <w:r>
        <w:rPr>
          <w:b/>
        </w:rPr>
        <w:t>E. 9</w:t>
      </w:r>
    </w:p>
    <w:p>
      <w:r>
        <w:t>Vu ce qui précède, la décision sur opposition querellée est en tous points conforme au droit, et le recours, dans la mesure où il est recevable, doit être rejeté.![endif]&gt;![if&gt;</w:t>
      </w:r>
    </w:p>
    <w:p>
      <w:r>
        <w:rPr>
          <w:b/>
        </w:rPr>
        <w:t>E. 10</w:t>
      </w:r>
    </w:p>
    <w:p>
      <w:r>
        <w:t>La procédure est gratuite (art. 89H al. 1 LPA et vu l'art. 61 let. fbis LPGA).![endif]&gt;![if&gt;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