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A/1630/2023 vom 18. November 2024</w:t>
      </w:r>
    </w:p>
    <w:p>
      <w:r>
        <w:t>GE Cour de justice, 2024-11-18, FR</w:t>
      </w:r>
    </w:p>
    <w:p>
      <w:r>
        <w:rPr>
          <w:b/>
        </w:rPr>
        <w:t xml:space="preserve">Quelle: </w:t>
      </w:r>
      <w:r>
        <w:t>https://mcp.opencaselaw.ch/entscheid/ge_gerichte_A_1630_2023</w:t>
      </w:r>
    </w:p>
    <w:p>
      <w:r>
        <w:t>FR: GE_GERICHTE A/1630/2023 du 18 novembre 2024</w:t>
      </w:r>
    </w:p>
    <w:p>
      <w:r>
        <w:t>IT: GE_GERICHTE A/1630/2023 del 18 novembre 2024</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60 LPGA).</w:t>
      </w:r>
    </w:p>
    <w:p>
      <w:r>
        <w:rPr>
          <w:b/>
        </w:rPr>
        <w:t>E. 2</w:t>
      </w:r>
    </w:p>
    <w:p>
      <w:r>
        <w:t>Le litige porte sur le droit du recourant à une rente d’invalidité.</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la décision querellée a certes été rendue postérieurement au 1 er janvier 2022. Toutefois, la demande de prestations ayant été déposée en 2014 et le délai d’attente d’une année venant à échéance en août 2014, un éventuel droit à une rente d’invalidité naitrait antérieurement au 1 er janvier 2022 (art. 28 al. 1 let. b et 29 al. 1 LAI), de sorte que les dispositions applicables seront citées dans leur teneur en vigueur jusqu’au 31 décembre 2021.</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entraine une incapacité de travail ayant des effets sur la capacité de gain de l’assuré (arrêt du Tribunal fédéral des assurances I 654/00 du 9 avril 2001 consid. 1).</w:t>
      </w:r>
    </w:p>
    <w:p>
      <w:r>
        <w:rPr>
          <w:b/>
        </w:rPr>
        <w:t>E. 3.2.1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3.2.2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3.2.3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3.2.4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3.2.5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3.3.1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des assurances I 168/05 du 24 avril 2006 consid. 3.3 et B 80/01 du 17 octobre 2003 consid. 5.2.2).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w:t>
      </w:r>
    </w:p>
    <w:p>
      <w:r>
        <w:rPr>
          <w:b/>
        </w:rPr>
        <w:t>E. 3.3.2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w:t>
      </w:r>
    </w:p>
    <w:p>
      <w:r>
        <w:rPr>
          <w:b/>
        </w:rPr>
        <w:t>E. 3.4.1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4</w:t>
      </w:r>
    </w:p>
    <w:p>
      <w:r>
        <w:t>En l’occurrence, l’intimé s’est fondé sur l’expertise pluridisciplinaire du V______ du 5 décembre 2022 pour retenir que le recourant présente une capacité de travail de 100%, avec une diminution de rendement de 20%, depuis le 1 er mai 2015.</w:t>
      </w:r>
    </w:p>
    <w:p>
      <w:r>
        <w:rPr>
          <w:b/>
        </w:rPr>
        <w:t>E. 4.1</w:t>
      </w:r>
    </w:p>
    <w:p>
      <w:r>
        <w:t>Fondé sur toutes les pièces du dossier, comprenant une anamnèse détaillée, la description des plaintes du recourant, des diagnostics clairs et une évaluation motivée et convaincante de la capacité de travail du recourant, à la suite d’une évaluation consensuelle des experts, le rapport d’expertise du V______ du 5 décembre 2022 répond aux réquisits jurisprudentiels précités pour qu’il lui soit reconnu une pleine valeur probante.</w:t>
      </w:r>
    </w:p>
    <w:p>
      <w:r>
        <w:rPr>
          <w:b/>
        </w:rPr>
        <w:t>E. 4.1.1</w:t>
      </w:r>
    </w:p>
    <w:p>
      <w:r>
        <w:t>Le recourant conteste la valeur probante de cette expertise, en faisant valoir l’avis du Dr S______ du 30 août 2021, selon lequel il présentait un syndrome douloureux chronique du membre supérieur gauche, avec une impotence de ce membre qui empêchait tout usage professionnel. Or, ce rapport, qui émane d’un médecin traitant, est insuffisamment motivé pour faire douter des conclusions du rapport d’expertise du V______, ce d’autant que celles-ci rejoignent totalement celles prises par les experts judiciaires neurologues mandatés par la chambre de céans dans le cadre de la procédure LAA (A/626/2021) opposant le recourant à la SUVA (expertise judiciaire de la Dre T______ et du Dr U______, du 4 août 2023, complétée les 5 décembre 2023 et 16 avril 2024). À cet égard, le recourant estime que les premières conclusions des experts judiciaires doivent être retenues, soit une capacité de travail de 50% dans une activité adaptée, ce d’autant que le Dr S______ attestait d’une incapacité de travail totale. Ce grief ne peut être retenu. En effet, les experts judiciaires ont précisé clairement leur évaluation dans deux compléments d’expertise, de sorte que ceux-ci corrigent, de façon motivée, la première évaluation de la capacité de travail du recourant, fondée sur une base erronée, soit en référence aux tables de la SUVA pour évaluer les atteintes à l’intégrité. Le SMR a en outre estimé que l’expertise judiciaire, complétée les 5 décembre 2023 et 16 avril 2024, était convaincante (avis du SMR du 13 mai 2024). Par ailleurs, dans un arrêt de ce jour, la chambre de céans a constaté l’entière valeur probante de l’expertise judiciaire précitée, laquelle conclut également à une capacité totale de travail du recourant dans une activité adaptée à ses limitations fonctionnelles, avec une diminution de rendement de 20%. La chambre de céans considère, dans ces conditions, que l’audition du Dr S______, que le recourant a requise, ne permettrait pas d’arriver à une autre conclusion, de sorte qu’il y sera renoncé, par appréciation anticipée de preuves.</w:t>
      </w:r>
    </w:p>
    <w:p>
      <w:r>
        <w:rPr>
          <w:b/>
        </w:rPr>
        <w:t>E. 4.1.2</w:t>
      </w:r>
    </w:p>
    <w:p>
      <w:r>
        <w:t>Au demeurant, les conclusions convergentes des expertises du V______ et judiciaire permettent de retenir que le recourant était totalement incapable de travailler depuis le 2 août 2013 et apte à exercer une activité adaptée à ses limitations fonctionnelles à un taux de 80%. Selon les experts du V______, l’aptitude à la réadaptation est donnée dès le 1 er mai 2015, ce qui n’est pas spécifiquement contesté par le recourant. Le fait que les experts judiciaires, dans le cadre du volet LAA, ont estimé que la capacité de travail de 80% était exigible dès le 22 mars 2017 seulement, suivant en cela la date de l’examen du Dr H______ du même jour, n’est pas déterminant. En effet, l’intimé, contrairement à l’assureur-accidents, n’a pas à attendre l’issue des mesures thérapeutiques ni la stabilisation du cas mais est tenu d’évaluer la capacité de gain des assurés bien avant (arrêt du Tribunal fédéral 8C_239/2020 du 19 avril 2021). Or, aucun élément médical ne remet en doute l’aptitude à la réadaptation du recourant, au 1 er mai 2015, de sorte que celle-ci sera confirmée.</w:t>
      </w:r>
    </w:p>
    <w:p>
      <w:r>
        <w:rPr>
          <w:b/>
        </w:rPr>
        <w:t>E. 4.2</w:t>
      </w:r>
    </w:p>
    <w:p>
      <w:r>
        <w:t>Il convient de calculer le degré d’invalidité. Au 2 août 2014, le recourant présentait une incapacité de travail totale, de sorte qu’il a droit à une rente entière d’invalidité. L’intimé a cependant constaté que le recourant ne présentait pas, à cette date, trois années de cotisation, de sorte qu’il n’avait pas droit à la rente. Ce point n’est pas contesté par le recourant. Au 1 er mai 2015, le recourant présentait une capacité de travail de 80% dans une activité adaptée. L’intimé s’est fondé, pour évaluer les revenus sans et avec invalidité, sur l’ESS 2014, niveau 1, pour 41,7 heures de travail par semaine, indexé à l’année 2015. Ce calcul, d’ailleurs non contesté par le recourant, peut être confirmé. Dans la mesure où les revenus avec et sans invalidité sont identiques, la perte de gain du recourant correspond à la perte de rendement de 20%, étant relevé qu’un abattement sur le revenu d’invalide n’est pas justifié, selon les critères jurisprudentiels précités, en particulier les limitations fonctionnelles étant déjà prises en compte dans le cadre de la diminution de rendement. En conséquence, le degré d’invalidité est de 20%, taux insuffisant pour ouvrir le droit à une rente d’invalidité.</w:t>
      </w:r>
    </w:p>
    <w:p>
      <w:r>
        <w:rPr>
          <w:b/>
        </w:rPr>
        <w:t>E. 5</w:t>
      </w:r>
    </w:p>
    <w:p>
      <w:r>
        <w:t>Au vu de ce qui précède, le recours ne peut qu’être rejeté. Au vu du sort du recours, il y a lieu de condamner le recourant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