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A/1629/2020 vom 3. Juni 2021</w:t>
      </w:r>
    </w:p>
    <w:p>
      <w:r>
        <w:t>GE Cour de justice, 2021-06-03, FR</w:t>
      </w:r>
    </w:p>
    <w:p>
      <w:r>
        <w:rPr>
          <w:b/>
        </w:rPr>
        <w:t xml:space="preserve">Quelle: </w:t>
      </w:r>
      <w:r>
        <w:t>https://mcp.opencaselaw.ch/entscheid/ge_gerichte_A_1629_2020</w:t>
      </w:r>
    </w:p>
    <w:p>
      <w:r>
        <w:t>FR: GE_GERICHTE A/1629/2020 du 3 juin 2021</w:t>
      </w:r>
    </w:p>
    <w:p>
      <w:r>
        <w:t>IT: GE_GERICHTE A/1629/2020 del 3 giugno 2021</w:t>
      </w:r>
    </w:p>
    <w:p>
      <w:pPr>
        <w:pStyle w:val="Heading2"/>
      </w:pPr>
      <w:r>
        <w:t>Erwägungen</w:t>
      </w:r>
    </w:p>
    <w:p>
      <w:r>
        <w:rPr>
          <w:b/>
        </w:rPr>
        <w:t>E. 5</w:t>
      </w:r>
    </w:p>
    <w:p>
      <w:r>
        <w:t>ème Chambre En la cause Monsieur A______, domicilié ______, à CHÂTELAINE recourant contre OFFICE DE L'ASSURANCE-INVALIDITÉ DU CANTON DE GENÈVE, sis rue des Gares 12, GENÈVE intimé EN FAIT 1.        Monsieur A______ (ci-après : l'intéressé ou le recourant), né en 1975, a épousé à Genève, en date du 27 mai 2002, Madame B______. 2.        De leur union est né, le 4 juin 2002, leur fils C______. 3.        Par jugement rendu en date du 15 mai 2008, le Tribunal de première instance a dissous par le divorce ledit mariage et a attribué l'autorité parentale et la garde de C______ à sa mère. L'intéressé a été condamné à verser une contribution à l'entretien de C______, mensuelle et d'avance, de CHF 600.- jusqu'à l'âge de 10 ans, de CHF 700.- jusqu'à l'âge de 15 ans, et de CHF 800.- jusqu'à la majorité de C______, voire au-delà, jusqu'à 25 ans au plus, si C______ poursuivait une formation professionnelle ou des études sérieuses et régulières. 4.        En date du 21 décembre 2012, l'intéressé, ayant exercé jusqu'alors la profession d'agent de sécurité, a communiqué à l'office de l'assurance-invalidité du canton de Genève (ci-après : l'OAI ou l'intimé) une demande de prestations d'invalidité, indiquant qu'il était en incapacité de travail, depuis le 1 er octobre 2011 jusqu'à ce jour, à un taux de 100%, suite à une agression à la tête, avec céphalées, pertes de mémoire, insomnie et dépression. 5.        Par formulaire daté du 4 octobre 2018, l'intéressé a réclamé le versement de la rente complémentaire pour enfants, indiquant sous la rubrique observations qu'il ne percevait « plus de pension depuis le 1 er novembre 2012 ». 6.        Par décision du 20 novembre 2018, l'OAI a confirmé le degré d'invalidité de 100% de l'intéressé et a fixé le montant de sa rente simple mensuelle à CHF 1'144.-, dès le mois de juin 2013 jusqu'au mois de décembre 2014, puis à CHF 1'149.-, dès le mois de janvier 2015. 7.        Dans une seconde décision, datée également du 20 novembre 2018, mais adressée à la mère de l'enfant, titulaire de l'autorité parentale, l'OAI a fixé le montant de la rente complémentaire simple mensuelle pour l'enfant C______, à CHF 457.-, dès le mois de juin 2013 jusqu'au mois de décembre 2014, puis à CHF 459.-, dès le mois de janvier 2015. 8.        Par décision du 5 mars 2020, adressée à la mère de l'enfant, l'OAI a confirmé le droit à la rente complémentaire simple pour C______, soit CHF 457.- jusqu'au mois de décembre 2014, puis CHF 459.- dès le mois de janvier 2015. Dans la décision, il était encore indiqué « Décision annule et remplace celle du 24 mai 2019. Motif : prise en compte de pensions alimentaires versées par M. A______ ». 9.        Par courrier du 5 mars 2020, auquel était jointe une copie de la décision du 5 mars 2020 adressée à la mère de l'enfant, l'intéressé a été informé qu'il recevrait bientôt le montant de CHF 9'387.- qui correspondait aux périodes durant lesquelles il avait versé des pensions alimentaires (en faveur de C______). 10.    Par courrier posté le 10 juin 2020, l'intéressé a fait recours contre l'acte du 5 mars 2020, invoquant que « le service des rentes » lui avait rendu CHF 9'387.- après une première « malversation pour mon ex-femme » (sic) alors que l'intéressé avait toujours réglé la pension alimentaire. Il concluait à ce que la chambre de céans l'aide « à récupérer ses droits ». 11.    Par réponse du 4 août 2020, la caisse de compensation (ci-après : la caisse) répondant pour l'OAI, a rappelé que l'intéressé avait épousé, en mai 2002, Madame B______, union dont était issu l'enfant C______ dont la garde et l'autorité parentale avaient été confiées à la mère. Cela fait, la caisse a récapitulé le paiement des contributions d'entretien suite au divorce prononcé le 5 mai 2008. Elle a notamment expliqué qu'elle aurait dû retenir l'arriérage des pensions dues au titre de l'enfant « dans l'attente d'éventuelles revendications des assureurs ayant consenti des avances au recourant » au lieu de quoi, la caisse avait procédé au paiement de la contribution d'entretien de l'enfant dans les mains de sa mère. Après avoir réclamé le remboursement des rentes à la mère de l'enfant et avoir remboursé les avances dues à certains assureurs, la caisse avait versé le montant de CHF 9'387.- au recourant, « à titre de remboursement des contributions d'entretien versées en faveur de l'enfant de juin 2013 à novembre 2018 ». Le recourant réclamait le remboursement d'un montant de CHF 12'195.- correspondant à la totalité du montant des contributions d'entretien versées en main du SCARPA ; la caisse ne contestait pas que le recourant s'était effectivement acquitté de cette somme, mais considérait qu'il se méprenait sur le mode de remboursement et rappelait que le remboursement était effectué, mois après mois et dans la limite du montant mensuel de la rente complémentaire pour enfants, quand bien même le débiteur de la contribution aurait versé plus. La caisse expliquait ainsi que le recourant n'avait versé aucune contribution en 2013 ; en 2014, il s'était acquitté de son obligation alimentaire pour les mois de mai à novembre 2014, étant considéré que le paiement de CHF 1'000.- effectué en novembre 2014 intégrait d'avance la contribution du mois de décembre 2014 ; aussi, bien que le recourant ait versé CHF 500.- par mois, la caisse ne pouvait que lui rembourser un montant total de CHF 3'656.-, soit CHF 457.- × 8 mois. Quant aux contributions des années 2016 et 2018, elles avaient été intégralement remboursées au recourant, à hauteur de ce qu'il avait versé, car les montants payés par lui étaient inférieurs au montant de la rente mensuelle de C______, soit CHF 1'100.- versé en 2016 et CHF 500.- versé en 2017 ; en ce qui concernait l'année 2015, en l'absence de modalités de remboursement topiques en cas de versement élevé, la caisse s'en remettait à la chambre de céans. Elle ajoutait que, dans l'intérêt du recourant, la caisse comme en l'espèce, en 2014, procédait habituellement à une pondération mensuelle des contributions sur l'année, lorsque le paiement d'une grosse somme était rapproché. Tel était le cas ici, le paiement de CHF 1'000.- effectué par l'intéressé en novembre 2014 ayant été considéré comme acquittant également la contribution alimentaire du mois de décembre 2014. Toutefois, en 2015, la caisse n'avait volontairement pas procédé à la même pondération - car les grosses contributions payées par le recourant pouvaient aussi bien correspondre à son obligation alimentaire des années antérieures à la naissance de son droit, en juin 2013 - et verser d'office ces montants à l'intéressé pouvait pénaliser la mère de l'enfant. La caisse ajoutait que le SCARPA n'avait pas donné suite à la demande de précision des règlements en question ; dès lors, la caisse n'avait pas d'autre choix, pour l'année 2015, que de procéder à un remboursement approximatif de CHF 4'131.-, soit CHF 459.- × 9 mois. Pour le reste, la caisse concluait à la confirmation de la décision querellée. 12.    Par courrier posté le 5 octobre 2020, le recourant a répliqué en rappelant que la caisse lui avait restitué, en date du 5 mars 2020, le montant de CHF 9'387.-, mais que ce montant ne correspondait pas au montant qu'il avait lui-même payé au SCARPA, soit la somme de CHF 12'195.-. 13.    Par courrier du 14 décembre 2020, l'intimé a dupliqué, maintenant les conclusions contenues dans la réponse. 14.    Par courrier du 14 mai 2021, la chambre de céans a interpellé le recourant afin d'attirer son attention sur le caractère, a priori, tardif du recours et afin que ce dernier puisse exposer les éventuelles circonstances, pièces à l'appui, qui l'avaient empêché, sans sa faute, d'agir dans le délai. 15.    Par courrier du 18 mai 2021, le recourant a répété l'argumentation qu'il avait développée, au fond, dans son acte de recours, sans faire valoir de motifs de restitution du délai ; il a notamment joint à son courrier un e-mail, daté du 1 er avril 2020, par lequel il s'adressait à l'adresse email générale prestations@ocas.c h, accusant réception de la décision du 5 mars 2020 et demandant si le fait qu'il avait payé la somme de CHF 12'195.- avait été pris en compte dans les calculs. Aucune information ou pièce n'était fournie de nature à expliquer les raisons pour lesquelles le délai de recours n'avait pas été respecté. 16.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 er janvier 2021 est entrée en vigueur la modification du 21 juin 2019 de la LPGA. Toutefois, dans la mesure où le recours était pendant, au 1 er janvier 2021, devant la chambre de céans, il reste soumis à l'ancien droit (cf. art. 83 LPGA). 3.        L'art. 61 LPGA prévoit que la procédure devant la chambre des assurances sociales est réglée par le droit cantonal, sous réserve de ce que celui-ci respecte les exigences minimales requises par la LPGA. 4.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5.        Selon l'art. 1 de l'ordonnance sur la suspension des délais dans les procédures civiles et administratives pour assurer le maintien de la justice en lien avec le coronavirus (COVID-19) du 20 mars 2020 (ci-après : l'ordonnance sur la suspension des délais)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L'art. 2 de l'ordonnance précitée, stipule que celle-ci entre en vigueur le 21 mars 2020 à 0h00 et a effet jusqu'au 19 avril 2020.</w:t>
      </w:r>
    </w:p>
    <w:p>
      <w:r>
        <w:rPr>
          <w:b/>
        </w:rPr>
        <w:t>E. 6</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7.        a. Une restitution de délai peut être octroyée,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b.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c.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(arrêts 5A_801/2013 du 21 janvier 2014 consid. 3.3, in BlSchK 2015 p. 61; 5A_846/2012 du 4 novembre 2013 consid. 7.3, in SJ 2014 I 109; cf. ég. arrêt 5A_673/2017 du 22 mars 2018 consid. 2.3.1). 8.        En l'espèce, la décision datée du 5 mars 2020 a été connue du recourant, au plus tard, en date du 1 er avril 2020, date de son accusé de réception par email. Compte tenu de la suspension des délais découlant de l'art. 1 de l'ordonnance sur la suspension des délais, le premier jour du délai de recours a été reporté au 20 avril 2020. Posté en date du 10 juin 2020, le recours a été interjeté bien au-delà du délai de 30 jours. Le recourant n'a fait valoir aucun motif d'empêchement qui aurait pu conduire à une restitution du délai. Partant, le recours est tardif. 9.        Reste à examiner si l'email du recourant, daté du 1 er avril 2020, pourrait remplir, éventuellement, les conditions d'un recours. L'art. 61 LPGA renvoie à la procédure cantonale ; l'art. 18A al. 6 LPA stipule que la communication électronique ne s'applique pas à la procédure de recours. Dès lors, la communication électronique du 1 er avril 2020 ne saurait être acceptée comme acte de recours, sans compter que, sur le fond, le contenu est dépourvu de motivation et de conclusion et ne saurait être interprété comme une contestation de la décision du 5 mars 2020. Pour le surplus, il est inutile d'examiner si l'intéressé était, par ailleurs, légitimé à recourir contre la décision entreprise, dont la destinataire était la mère de l'enfant. 10.    Compte tenu de ce qui précède, le recours est déclaré irrecevable. 11.    Le litige ne portant pas sur l'octroi ou le refus de prestations, la procédure est gratuite (art. 69 al. 1bis LAI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