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A/1623/2003 vom 21. September 2004</w:t>
      </w:r>
    </w:p>
    <w:p>
      <w:r>
        <w:t>GE Cour de justice, 2004-09-21, FR</w:t>
      </w:r>
    </w:p>
    <w:p>
      <w:r>
        <w:rPr>
          <w:b/>
        </w:rPr>
        <w:t xml:space="preserve">Quelle: </w:t>
      </w:r>
      <w:r>
        <w:t>https://mcp.opencaselaw.ch/entscheid/ge_gerichte_A_1623_2003</w:t>
      </w:r>
    </w:p>
    <w:p>
      <w:r>
        <w:t>FR: GE_GERICHTE A/1623/2003 du 21 septembre 2004</w:t>
      </w:r>
    </w:p>
    <w:p>
      <w:r>
        <w:t>IT: GE_GERICHTE A/1623/2003 del 21 settembre 2004</w:t>
      </w:r>
    </w:p>
    <w:p>
      <w:pPr>
        <w:pStyle w:val="Heading2"/>
      </w:pPr>
      <w:r>
        <w:t>Erwägungen</w:t>
      </w:r>
    </w:p>
    <w:p>
      <w:r>
        <w:rPr>
          <w:b/>
        </w:rPr>
        <w:t>E. 4</w:t>
      </w:r>
    </w:p>
    <w:p>
      <w:r>
        <w:t>Lorsqu’en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 Aussi devient-il superflu d’examiner s’il existe d’autres facteurs ayant favorisé la survenance de troubles psychiques (RAMA 1990 p. 123). Le caractère adéquat du lien de causalité suppose par principe que l’événement accidentel ait eu une importance déterminante dans le déclenchement des troubles psychiques. C’est le cas lorsque, du point de vue objectif, l’accident est d’une certaine gravité ou en d’autres termes, lorsqu’il revêt effectivement une importance particulière (ATF 112 V 37 ). Si tel n’est pas le cas, des troubles psychiques suffisamment importants pour entraîner une incapacité de travail totale ou partielle durant une période relativement longue n’apparaissent plus en relation de causalité adéquate avec l’accident. Selon le recourant, trois d’entre ces critères sont réalisés, à savoir celui de la durée du traitement médical, de la persistance des douleurs physiques ainsi que le degré et la durée de l’incapacité de travail. Dans ses écritures du 18 mai 2004, l’intimée considère au contraire qu’aucun des critères n’est rempli en l’espèce. Elle relève au surplus que si la capacité de travail n’a jamais été mise en valeur, si l’assuré a continué à se plaindre de cervicalgies et si la prise de médicaments s’est poursuivie, il faut y voir l’influence de la sinistrose se dessinant chez l’assuré. Elle nie dès lors l’existence d’un rapport adéquat entre les plaintes actuelles de l’assuré et l’accident du 3 février 2001.</w:t>
      </w:r>
    </w:p>
    <w:p>
      <w:r>
        <w:rPr>
          <w:b/>
        </w:rPr>
        <w:t>E. 5</w:t>
      </w:r>
    </w:p>
    <w:p>
      <w:r>
        <w:t>L’autorité administrative ou le juge ne doivent considérer un fait comme prouvé que lorsqu’ils sont convaincus de sa réalité (KUMMER, Grundriss des Zivilprozessrechts, 4 ème édition, Berne 1984, p. 136 ; GYGI, Bundesverwaltungsrechtspflege, 2 ème édition, p. 278, ch.5).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K921, p. 159, consid. 3b; ATA R. du 21 novembre 2000).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motivées (ATF 122 V consid. 1c p. 160 et les références). De jurisprudence constante, lorsqu’aucun indice concret ne permet de douter du bien-fondé des appréciations émises par les médecins de la CNA, les rapports de ces derniers ont valeur de preuve et cela, dans la mesure où la caisse n’était pas partie à la procédure au moment où ils ont été établis (ATF 104 V 209 ; ATA S. du 29 mars 1994; G. du 9 novembre 1994). S’agissant d’un rapport médical établi par un médecin employé de l’assurance, le Tribunal fédéral des assurances (TFA) a considéré que s’il était convaincant et que les objections invoquées à son encontre dans le cadre du recours ne suscitaient pas de doute quant à sa valeur probante, il était superflu de se livrer à d’autres enquêtes médicales, car il ne fallait pas s’attendre à pouvoir faire d’autres constatations (ATF 104 V 209 ; ATA S. du 29 mars 1994). En l’espèce, l’événement accidentel lui-même est tout au plus de gravité moyenne. Les circonstances concomitantes n’étaient pas dramatiques, les lésions physiques n’étaient pas propres à entraîner des troubles psychiques, le traitement médical de ces lésions n’a pas été anormalement long et il n’a pas été entaché d’erreurs, il n’est pas apparu au cours de la guérison de difficultés ou de complications importantes et l’incapacité de travail, en tant qu’elle serait due aux seules lésions physiques, n’aurait pas été particulièrement longue. Certes le recourant se plaint-il encore de cervicalgies rebelles à tout traitement. Il résulte cependant de tous les avis médicaux figurant au dossier, sauf celui du médecin traitant, qu’il n’y a plus, au-delà du 31 juillet 2002, de lien de causalité entre l’accident et les troubles physiques, qu’il ne présente aucune lésion post-traumatique clairement objectivable (cf. rapport du Docteur N__________ du 26 juillet 2002). Le Docteur O__________ de la division de médecine des accidents de la CNA a ainsi considéré qu’un trouble psychosomatique était présent. Il y a du reste lieu de constater que le Docteur N__________ lui-même a envisagé une évolution sinistrosique. Il faut dès lors considérer que ce sont pour des raisons psychiques sans rapport avec l’événement accidentel lui-même que l’intéressé n’a pas recouvré sa pleine capacité de travail et qu’il considère qu’il doit toujours recevoir des soins. Le recours devra dont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