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A/1607/2005 vom 11. Oktober 2005</w:t>
      </w:r>
    </w:p>
    <w:p>
      <w:r>
        <w:t>GE Cour de justice, 2005-10-11, FR</w:t>
      </w:r>
    </w:p>
    <w:p>
      <w:r>
        <w:rPr>
          <w:b/>
        </w:rPr>
        <w:t xml:space="preserve">Quelle: </w:t>
      </w:r>
      <w:r>
        <w:t>https://mcp.opencaselaw.ch/entscheid/ge_gerichte_A_1607_2005</w:t>
      </w:r>
    </w:p>
    <w:p>
      <w:r>
        <w:t>FR: GE_GERICHTE A/1607/2005 du 11 octobre 2005</w:t>
      </w:r>
    </w:p>
    <w:p>
      <w:r>
        <w:t>IT: GE_GERICHTE A/1607/2005 del 11 ottobre 2005</w:t>
      </w:r>
    </w:p>
    <w:p>
      <w:pPr>
        <w:pStyle w:val="Heading2"/>
      </w:pPr>
      <w:r>
        <w:t>Regeste</w:t>
      </w:r>
    </w:p>
    <w:p>
      <w:r>
        <w:t>IMPOT; TAXATION D'OFFICE; SUCCESSION; PROCEDURE; RECONSIDERATION; RECLAMATION; REVISION; INTERPRETATION; DENI DE JUSTICE | Taxation d'office des droits de succession. Nature et conséquences juridiques propres à ce mode spécifique d'imposition. Taxation d'office ne reflétant pas la réalité. Examen des différentes procédures permettant de revenir sur celle-ci. La procédure en restitution des droits de l'article 70 alinéa 1 LDS trouve à s'appliquer au cas d'espèce et doit être admise. La taxation d'office à laquelle a procédé l'AFC constitue en effet un deni de justice en tant qu'elle se fonde sur l'intégralité de l'actif successoral, tout en faisant simultanément abstraction de la mageure partie des dettes annoncées au passif. | LDS.31; LDS.32 al.1; LDS.42; LDS.70 al.1 litt.d</w:t>
      </w:r>
    </w:p>
    <w:p>
      <w:pPr>
        <w:pStyle w:val="Heading2"/>
      </w:pPr>
      <w:r>
        <w:t>Erwägungen</w:t>
      </w:r>
    </w:p>
    <w:p>
      <w:r>
        <w:rPr>
          <w:b/>
        </w:rPr>
        <w:t>E. 1</w:t>
      </w:r>
    </w:p>
    <w:p>
      <w:r>
        <w:t>Monsieur K__________ et Madame E__________, tous deux nés le__________, se sont mariés le 19 janvier 1968 à Chêne-Bougeries. Domiciliés à Genève, ils étaient soumis au régime de la séparation des biens.</w:t>
      </w:r>
    </w:p>
    <w:p>
      <w:r>
        <w:rPr>
          <w:b/>
        </w:rPr>
        <w:t>E. 2</w:t>
      </w:r>
    </w:p>
    <w:p>
      <w:r>
        <w:t>Le 28 janvier 2001, les époux K__________ ont été victimes d’un accident de la circulation à Charrat (Valais) et sont décédés. Ils n’avaient pas de descendant. Monsieur E K__________, frère de M. K__________, est le seul héritier de ce dernier. Les héritiers légaux de Mme E__________ sont sa mère, Madame R E__________, et ses sœurs, Mesdames M__________ et B__________.</w:t>
      </w:r>
    </w:p>
    <w:p>
      <w:r>
        <w:rPr>
          <w:b/>
        </w:rPr>
        <w:t>E. 3</w:t>
      </w:r>
    </w:p>
    <w:p>
      <w:r>
        <w:t>Par pli recommandé du 12 mars 2001, le service des successions de l’administration fiscale cantonale genevoise (ci-après : l’AFC) a convoqué Monsieur C E__________, parent de la défunte, afin de déterminer la situation fiscale des époux K__________.</w:t>
      </w:r>
    </w:p>
    <w:p>
      <w:r>
        <w:rPr>
          <w:b/>
        </w:rPr>
        <w:t>E. 4</w:t>
      </w:r>
    </w:p>
    <w:p>
      <w:r>
        <w:t>Le 28 mars 2001, Monsieur B__________, de la fiduciaire ACF S.A., a fait parvenir à l’AFC copie de deux contrats le mandatant aux fins d’assurer la gestion temporaire et la liquidation de la succession de M. K__________ (ci-après : l’hoirie K__________ ou l’hoirie recourante), d’une part, et de Mme K E__________, d’autre part.</w:t>
      </w:r>
    </w:p>
    <w:p>
      <w:r>
        <w:rPr>
          <w:b/>
        </w:rPr>
        <w:t>E. 5</w:t>
      </w:r>
    </w:p>
    <w:p>
      <w:r>
        <w:t>La déclaration de succession concernant M. K__________ n’ayant pas été retournée, l’AFC a adressé à M. B__________ un rappel le 29 juin 2001, en lui fixant un délai au 29 juillet suivant.</w:t>
      </w:r>
    </w:p>
    <w:p>
      <w:r>
        <w:rPr>
          <w:b/>
        </w:rPr>
        <w:t>E. 6</w:t>
      </w:r>
    </w:p>
    <w:p>
      <w:r>
        <w:t>Un procès-verbal d’inventaire au décès concernant l’hoirie K__________ a été établi le 16 juillet 2001. Ce document, signé par M. B__________ et un représentant de l’AFC, fait état de biens à hauteur de CHF 4'676'161.-, ainsi que de créances et de titres pour un montant de CHF 201'655,21.</w:t>
      </w:r>
    </w:p>
    <w:p>
      <w:r>
        <w:rPr>
          <w:b/>
        </w:rPr>
        <w:t>E. 7</w:t>
      </w:r>
    </w:p>
    <w:p>
      <w:r>
        <w:t>Le rappel du 29 juin 2001 n’ayant pas été suivi d’effet, l’AFC a adressé le 14 septembre 2001 un deuxième rappel à M. B__________, en lui impartissant un délai au 15 octobre 2001 pour retourner la déclaration de succession de l’hoirie K__________.</w:t>
      </w:r>
    </w:p>
    <w:p>
      <w:r>
        <w:rPr>
          <w:b/>
        </w:rPr>
        <w:t>E. 8</w:t>
      </w:r>
    </w:p>
    <w:p>
      <w:r>
        <w:t>Par courrier du 26 septembre 2001, M. B__________ a sollicité une prolongation de délai au 31 octobre 2001 pour retourner la déclaration de la succession K__________. Le 4 octobre 2001, l’AFC a prolongé le délai au 30 octobre suivant puis, suite à un téléphone de M. B__________, au 30 novembre 2001.</w:t>
      </w:r>
    </w:p>
    <w:p>
      <w:r>
        <w:rPr>
          <w:b/>
        </w:rPr>
        <w:t>E. 9</w:t>
      </w:r>
    </w:p>
    <w:p>
      <w:r>
        <w:t>Le déni de justice visé par l’article 70 alinéa 1 lettre d LDS est, au vu de ce qui précède, réalisé tant dans sa composante formelle que matérielle. Sous l’angle formel, le refus de l’AFC, puis de la commission, d’entrer en matière sur la demande de révision contrevient au droit d’être entendu de l’hoirie recourante, qui était en droit d’attendre une réponse motivée sur l’existence d’un déni de justice au sens de l’article 70 alinéa 1 lettre d LDS. Sur le plan matériel, ce refus procède d’une interprétation arbitraire du chef de révision prévu à l’article 70 alinéa 1 lettre d LDS, dans la mesure où il a conduit à la confirmation d’un bordereau fiscal qui ne repose pas sur une appréciation détaillée de la situation et une prise en compte de l’ensemble des indices concluants au sens de la doctrine et de la jurisprudence. La décision attaquée est, en outre, arbitraire dans son résultat, en tant qu’elle aboutit à une taxation manifestement excessive.</w:t>
      </w:r>
    </w:p>
    <w:p>
      <w:r>
        <w:rPr>
          <w:b/>
        </w:rPr>
        <w:t>E. 10</w:t>
      </w:r>
    </w:p>
    <w:p>
      <w:r>
        <w:t>a. La décision de la commission doit en conséquence être annulée et la cause retournée à l’AFC afin qu’elle procède à une nouvelle taxation. Statuant dans le cadre d’une taxation d’office, dont le principe est maintenu, l’AFC se fondera sur les renseignements et les indications dont elle dispose au regard de l’article 42 alinéa 3 LDS. b. S’agissant du montant de l’actif net de l’hoirie K__________ soumis aux droits de succession au sens de l’article 19 alinéa 1 LDS, les pièces figurant au dossier comprennent le procès-verbal d’inventaire au décès qui, établi le 16 juillet 2001, fait état d’un actif de CHF 4'676'161.- et d’un passif de CHF 201'655,21. L’inventaire de succession remis le 5 décembre 2001 à l’AFC fait pour sa part état d’un actif net imposable de CHF 5'029'787,70 à la date du 28 janvier 2001, date du décès de M. K__________. En outre, le courrier que la fiduciaire mandataire de l’hoirie a adressé le 2 juin 2003 à l’AFC, à l’appui de sa demande de révision, affiche un actif net imposable ascendant à CHF 6'273'013.-. Dans ce dernier document, l’hoirie recourante s’est déclarée acquise à l’idée que ce montant, sensiblement plus élevé que ceux figurant dans les documents des 16 juillet et 5 décembre 2001, serve de base pour la fixation des droits de succession. Ce montant procède d’une évaluation des actifs et des passifs de l’hoirie recourante qui ne dépasse pas le cadre tracé par l’article 42 alinéa 3 LDS, en tant qu’il correspond pour l’essentiel au montant des actifs et des passifs figurant dans le dossier. C’est ainsi, sur la base d’un actif net de CHF 6'273'013.-, que l’AFC procèdera au calcul des droits de succession, des intérêts et des pénalités à la charge de l’hoirie, ainsi que des émoluments et des frais administratifs.</w:t>
      </w:r>
    </w:p>
    <w:p>
      <w:r>
        <w:rPr>
          <w:b/>
        </w:rPr>
        <w:t>E. 11</w:t>
      </w:r>
    </w:p>
    <w:p>
      <w:r>
        <w:t>a. L’admission du recours rend inutile l’examen du moyen tiré de l’inégalité de traitement entre la taxation d’office de l’hoirie K__________ et celle de l’hoirie de feue Mme E K__________. b. Vu l’issue du litige, un émolument de CHF 1'500.- sera mis à la charge de l’administration fiscale cantonale, conformément à la jurisprudence récente du Tribunal administratif ( ATA/423/2005 du 16 juin 2005). Représentée par une avocate, l’hoirie recourante a conclu à l’octroi d’une indemnité. Il sera fait droit à cette demande et une indemnité de CHF 750.- lui sera accordée,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