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A/1606/2024 vom 20. Januar 2024</w:t>
      </w:r>
    </w:p>
    <w:p>
      <w:r>
        <w:t>GE Cour de justice, 2024-01-20, FR</w:t>
      </w:r>
    </w:p>
    <w:p>
      <w:r>
        <w:rPr>
          <w:b/>
        </w:rPr>
        <w:t xml:space="preserve">Quelle: </w:t>
      </w:r>
      <w:r>
        <w:t>https://mcp.opencaselaw.ch/entscheid/ge_gerichte_A_1606_2024</w:t>
      </w:r>
    </w:p>
    <w:p>
      <w:r>
        <w:t>FR: GE_GERICHTE A/1606/2024 du 20 janvier 2024</w:t>
      </w:r>
    </w:p>
    <w:p>
      <w:r>
        <w:t>IT: GE_GERICHTE A/1606/2024 del 20 gennaio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du recourant.</w:t>
      </w:r>
    </w:p>
    <w:p>
      <w:r>
        <w:rPr>
          <w:b/>
        </w:rPr>
        <w:t>E. 3.1</w:t>
      </w:r>
    </w:p>
    <w:p>
      <w:r>
        <w:t>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 arrêts du Tribunal fédéral 9C_708/2007 du 11 septembre 2008 consid. 2.3 et I 52/03 du 16 janvier 2004 consid. 2.2 ; 9C_789/2012 du 27 juillet 2013, consid. 2). Son examen se limite, ainsi, au point de savoir si les pièces déposées en procédure administrative justifient ou non la reprise de l'instruction du dossier (arrêt du Tribunal fédéral 9C_789/2012 du 27 juillet 2013, consid. 4.1). Il ne sera donc pas tenu compte des rapports produits postérieurement à la décision litigieuse (ATF 130 V 64 consid. 5.2.5 ; 121 V 366 consid. 1b et les références ; arrêt du Tribunal fédéral 9C 959/2011 du 6 août 2012 consid. 4.3).</w:t>
      </w:r>
    </w:p>
    <w:p>
      <w:r>
        <w:rPr>
          <w:b/>
        </w:rPr>
        <w:t>E. 3.4</w:t>
      </w:r>
    </w:p>
    <w:p>
      <w:r>
        <w:t>Lorsque l’invalidité est survenue antérieurement à l’arrivée en Suisse de l’assuré, des interruptions notables de l’incapacité de gain permettent d’admettre l’existence depuis l’arrivée en Suisse de l’intéressé, d’un nouveau cas d’assurance (ATF 126 V 5 ; arrêt du Tribunal fédéral 9C_692/2018 du 19 décembre 2018 ; 8C_237/2020 du 23 juillet 2020 ; 8C_257/2021 du 1 er juillet 2021).</w:t>
      </w:r>
    </w:p>
    <w:p>
      <w:r>
        <w:rPr>
          <w:b/>
        </w:rPr>
        <w:t>E. 4</w:t>
      </w:r>
    </w:p>
    <w:p>
      <w:r>
        <w:t>En l’occurrence, le recourant allègue une aggravation de son état de santé par la survenance de nouvelles atteintes à sa santé somatiques et psychiques. Il a produit deux rapports médicaux des Drs K______ et L______, respectivement des 7 mai et 18 décembre 2024. Cependant, dans la mesure où ces avis médicaux ont été produits postérieurement à la décision litigieuse du 16 avril 2024, la chambre de céans ne peut en tenir compte, conformément à la jurisprudence précitée. Dans ces circonstances, le recourant n’a pas rendu plausible la survenance de nouvelles atteintes à sa santé. En outre, nonobstant le délai au 30 juin 2024 requis le 27 février 2024 par le Dr K______, l’intimé pouvait se prononcer sur l’entrée en matière relative à la nouvelle demande de prestations du recourant sans accorder à celui-ci un tel délai. En effet, il incombe au recourant qui dépose une nouvelle demande de prestations, de fournir les pièces médicales pertinentes, l’intimé devant lui impartir pour ce faire un délai raisonnable. Or, tel a été le cas dès lors que le 5 janvier 2024 l’intimé a fixé au recourant un délai de 30 jours pour produire toutes pièces utiles et que le recourant disposait encore de 30 jours pour faire ses observations à la suite du projet de décision du 1 er mars 2024. Partant, le recours ne peut qu’être rejeté. Il est toutefois loisible au recourant de déposer une nouvelle demande de prestations en joignant tous les documents médicaux utiles qui permettraient d’admettre la survenance d’une nouveau cas d’assurance. Vu l’issue du litige, le recourant est condamné au paiement d'un émolument de CHF 200.- (art. 69 al.1bis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