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A/1605/2014 vom 3. März 2015</w:t>
      </w:r>
    </w:p>
    <w:p>
      <w:r>
        <w:t>GE Cour de justice, 2015-03-03, FR</w:t>
      </w:r>
    </w:p>
    <w:p>
      <w:r>
        <w:rPr>
          <w:b/>
        </w:rPr>
        <w:t xml:space="preserve">Quelle: </w:t>
      </w:r>
      <w:r>
        <w:t>https://mcp.opencaselaw.ch/entscheid/ge_gerichte_A_1605_2014</w:t>
      </w:r>
    </w:p>
    <w:p>
      <w:r>
        <w:t>FR: GE_GERICHTE A/1605/2014 du 3 mars 2015</w:t>
      </w:r>
    </w:p>
    <w:p>
      <w:r>
        <w:t>IT: GE_GERICHTE A/1605/2014 del 3 marzo 2015</w:t>
      </w:r>
    </w:p>
    <w:p>
      <w:pPr>
        <w:pStyle w:val="Heading2"/>
      </w:pPr>
      <w:r>
        <w:t>Regeste</w:t>
      </w:r>
    </w:p>
    <w:p>
      <w:r>
        <w:t>ACTE DE RECOURS ; CONCLUSIONS ; MOTIVATION ; TAXI ; CHAUFFEUR; TAXI ; DEVOIR PROFESSIONNEL ; AMENDE ; COMPÉTENCE ; PRISE DE POSITION DE L'AUTORITÉ ; BARÈME ; VICE DE PROCÉDURE | Annulation d'une amende administrative, infligée à un chauffeur de taxi, au motif que la décision n'a pas été soumise au préavis consultatif de la commission de discipline exigé par la loi. Quelle que soit la sanction administrative envisagée (une amende et/ou une mesure administrative), le Scom doit requérir le préavis de la commission de discipline. Renvoi du dossier à l'autorité intimée pour que ledit préavis soit recueilli. Recours partiellement admis. | LPA.65 ; LTaxis.45.al1 ; LTaxis.48.al1 ; RTaxis.74.al3 ; Cst.5.al1</w:t>
      </w:r>
    </w:p>
    <w:p>
      <w:pPr>
        <w:pStyle w:val="Heading2"/>
      </w:pPr>
      <w:r>
        <w:t>Erwägungen</w:t>
      </w:r>
    </w:p>
    <w:p>
      <w:r>
        <w:rPr>
          <w:b/>
        </w:rPr>
        <w:t>E. 2</w:t>
      </w:r>
    </w:p>
    <w:p>
      <w:r>
        <w:t>ème section dans la cause Monsieur A______ contre SERVICE DU COMMERCE EN FAIT 1) Monsieur A______, né le ______ 1974, a conclu un contrat de bail à loyer pour garage, le 4 novembre 2011, ayant pour objet une place de stationnement sise 1______, route de B______, 1208 Genève. 2) Le 21 décembre 2011, M. A______ a été autorisé par le service du commerce (ci-après : Scom) à exploiter en qualité d’indépendant un taxi de service privé immatriculé GE 2______. L'autorisation était accordée sous certaines réserves et conditions, notamment à la condition que le chauffeur de taxi ne stationne pas sur la voie publique durant son service, sauf le chauffeur de taxi de service public qui est autorisé à stationner sur les stations qui lui sont réservées (ch. 7). 3) Le 11 juillet 2013 à 14h30, une inspectrice du Scom, accompagnée d'un autre inspecteur, a constaté que le véhicule de M. A______ était stationné sur une case de livraison, vis-à-vis de la station de taxis, rue C______, à la hauteur du n° 3______. M. A______ n'était pas dans son véhicule ni à proximité. Le compteur horokilométrique marquait la position « libre ». Un rapport contenant ces constatations a été établi le 1 er octobre 2013 et a été transmis au secteur juridique du Scom. 4) Par courrier recommandé du 15 avril 2014, le Scom a écrit à M. A______. Il envisageait de lui infliger une sanction et/ou une mesure administrative, en application des articles 45 à 47 de la loi sur les taxis et limousines (transport professionnel de personnes au moyen de voitures automobiles) du 21 janvier 2005 (LTaxis - H 1 30). D'après le rapport d'inspection du 1 er octobre 2013, il constatait que le 11 juillet 2013 à 14h30 son véhicule avait été stationné sur une case de livraison située face à la station de taxis sise à la rue C______, à la hauteur du n° 3______, en violation des articles 19 al. 1 LTaxis et 15 al. 1 et 2 du règlement d’exécution de la loi sur les taxis et limousines (transport professionnel de personnes au moyen de voitures automobiles) du 4 mai 2005 (RTaxis - H 1 30.01). Un délai au 29 avril 2014 lui était imparti pour répondre par écrit au grief précité. M. A______ n'a pas répondu à ce courrier. 5) Par décision du 9 mai 2014, le Scom, constatant l'absence de réponse de M. A______, a infligé à l'intéressé une amende de CHF 500.-, conformément à l'art. 45 LTaxis. Son véhicule avait été stationné le 11 juillet 2013 à 14h30 sur une case de livraison située face à la station de taxis sise rue C______, à la hauteur du n° 3______. Ainsi, l'intéressé s'était stationné sur la voie publique durant son service, en violation de l'art. 15 al. 1 RTaxis, et n'avait pas rejoint sa place de stationnement privée après sa dernière course, en violation de l'art. 15 al. 2 RTaxis. 6) Par acte du 2 juin 2014, mais déposé au guichet de la chambre administrative de la Cour de justice (ci-après : la chambre administrative) le 3 juin 2014, M. A______ a interjeté recours contre la décision précitée. Il contestait l'amende, expliquant qu'en date du 11 juillet 2013 à 14h30, il s'était parqué sur une place de livraison pour attendre un client qui souhaitait acheter du chocolat chez D______. Le client lui avait demandé de l'attendre car il était pressé, devant rejoindre l'aéroport rapidement. Pour ne pas perturber le trafic, il s'était parqué sur une place de livraison. Alors qu'il se parquait, des inspecteurs du Scom s'étaient approchés de lui. Il leur avait expliqué qu'il attendait son client parti acheter du chocolat mais les inspecteurs du Scom n'avaient rien voulu entendre. Ils lui avaient demandé sa carte professionnelle et l'avaient informé qu'il allait recevoir une amende à son domicile. 7) Le 4 juillet 2014, le Scom s'est rapporté à justice quant à la recevabilité du recours et a conclu, sur le fond, au rejet du recours et à la confirmation de sa décision du 9 mai 2014. Le rapport d'inspection du 1 er octobre 2013 constatait que le 11 juillet 2013 à 14h30, le véhicule immatriculé GE 2______ était stationné sur une place de livraison à la hauteur du n° 3______ de la rue C______, en face de la station de taxis de service public. M. A______ n'était ni dans le véhicule, ni à proximité. De plus, le compteur horokilométrique était allumé et affichait la position « libre », ce qui signifiait que M. A______ était en service. Conformément à la jurisprudence, les constations d'inspecteurs assermentés figurant dans les rapports d'inspection disposaient d'une pleine valeur probante. M. A______ se contentait de substituer sa propre version à celle des inspecteurs lesquels avaient pu constater que l'intéressé n'était ni dans son véhicule, ni à proximité, contrairement à ce qu'il affirmait. Dans la mesure où M. A______ n'avait apporté aucun élément permettant de s'écarter des observations faites par les inspecteurs, force était de constater que l'intéressé avait violé l'interdiction de stationner sur la voie publique durant son service (art. 15 al. 1 RTaxis), ainsi que son obligation de rejoindre sa place de stationnement après chaque course effectuée (art. 15 al. 2 RTaxis). 8) Le 8 juillet 2014, le juge délégué a imparti à M. A______ un délai au 7 août 2014 pour solliciter d'éventuels actes d'instruction complémentaires ou exercer son droit à la réplique, ensuite de quoi la cause serait gardée à juger. M. A______ ne s'est pas déterminé. 9) Le 4 février 2015, le juge délégué a informé les parties que la cause était gardée à juger.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Pierre MOOR/Etienne POLTIER, Droit administratif, vol. 2, 3 ème éd. 2011, p. 807 n. 5.8.1.4). Des conclusions conditionnelles sont en revanche irrecevables ( ATA/169/2013 du 12 mars 2013 ; ATA/650/2009 du 8 décembre 2009 consid. 3). Il en va de même des conclusions subsidiaires prises en dehors du délai de recours, pendant le cours de la procédure ( ATA/594/2011 du 20 septembre 2011 ; arrêt du Tribunal fédéral 8C_799/2011 du 20 juin 2012). En l'espèce, bien que le recourant n'ait pas formellement pris de conclusions, il a, dans son acte de recours du 2 juin 2014, suffisamment manifesté son désaccord avec la décision attaquée, ainsi que sa volonté qu’elle ne développe pas d’effets juridiques, si bien que le recours doit être déclaré recevable. 3) Le recourant ne conteste pas s'être parqué sur une case de livraison. Il explique toutefois qu'un client lui avait demandé de l'attendre pendant qu'il allait acheter du chocolat. Le recourant avait d'ailleurs expliqué cela aux inspecteurs qui étaient venus à sa rencontre. Ces questions de fond peuvent néanmoins rester ouvertes, la décision devant être annulée pour un autre motif. 4)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Ce barème ne figure pas au dossier, toutefois cela n'a pas d'importance au vu des considérations suivantes. 5)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ATA/997/2014 du 16 décembre 2014 consid. 2c ; ATA/572/2014 du 29 juillet 2014 consid. 6a ; ATA/361/2014 du 20 mai 2014 consid. 5a ; ATA/211/2014 du 1 er avril 2014 consid. 4 ; ATA/803/2013 du 10 décembre 2013 et les références citées). 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 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 Le principe de la séparation des pouvoirs est notamment consacré à l'art. 2 al. 2 de la Constitution de la République et canton de Genève du 14 octobre 2012 (Cst-GE - A 2 00). d. La chambre de céans a mis en doute la légalité de l’art. 74 al. 3 RTaxis à plusieurs reprises (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 Dans une jurisprudence récente, la chambre administrative a également considéré que le Scom ne pouvait pas prononcer de sanction administrative sans disposer du préavis de la commission, et cela même si l’infraction reprochée au chauffeur n'était passible, selon ledit barème, que d’une amende administrative ( ATA/997/2014 précité consid. 5 ; ATA/572/2014 précité consid. 7). En application de ces jurisprudences, le Scom doit dès lors, et avant de statuer sur une/des infraction(s) reprochée(s) à un chauffeur, requérir le préavis de la commission quelle que soit la sanction administrative envisagée. 6) a. L’absence de préavis obligatoire entraîne, de jurisprudence constante, l’invalidation de la décision ( ATA/997/2014 précité consid. 5 ; ATA/572/2014 précité consid. 8a ; ATA/348/2014 précité ; ATA/818/2013 précité ; Pierre MOOR/Étienne POLTIER, Droit administratif, vol. II, 3 ème éd., 2011, ch. 2.2.5.4 p. 279 et les références citées). b. En l’espèce, il ne ressort pas du dossier que le Scom ait requis au préalable le préavis de la commission avant de prononcer l'amende administrative à l’encontre du recourant. Compte tenu de ce qui précède, la décision devra être annulée. 7) Le recours sera ainsi partiellement admis et le dossier sera retourné au Scom afin qu’il requière le préavis de la commission, puis qu’il statue à nouveau. 8) Vu l’issue du litige, aucun émolument ne sera perçu (art. 87 al. 1 LPA). Il ne sera pas alloué d’indemnité de procédure au recourant, celui-ci n'y ayant pas conclu et n'ayant pas exposé de frais pour sa défense, qu'il a assurée lui-même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