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A/1602/2021 vom 30. August 2021</w:t>
      </w:r>
    </w:p>
    <w:p>
      <w:r>
        <w:t>GE Cour de justice, 2021-08-30, FR</w:t>
      </w:r>
    </w:p>
    <w:p>
      <w:r>
        <w:rPr>
          <w:b/>
        </w:rPr>
        <w:t xml:space="preserve">Quelle: </w:t>
      </w:r>
      <w:r>
        <w:t>https://mcp.opencaselaw.ch/entscheid/ge_gerichte_A_1602_2021</w:t>
      </w:r>
    </w:p>
    <w:p>
      <w:r>
        <w:t>FR: GE_GERICHTE A/1602/2021 du 30 août 2021</w:t>
      </w:r>
    </w:p>
    <w:p>
      <w:r>
        <w:t>IT: GE_GERICHTE A/1602/2021 del 30 agosto 2021</w:t>
      </w:r>
    </w:p>
    <w:p>
      <w:pPr>
        <w:pStyle w:val="Heading2"/>
      </w:pPr>
      <w:r>
        <w:t>Erwägungen</w:t>
      </w:r>
    </w:p>
    <w:p>
      <w:r>
        <w:rPr>
          <w:b/>
        </w:rPr>
        <w:t>E. 6</w:t>
      </w:r>
    </w:p>
    <w:p>
      <w:r>
        <w:t>ème Chambre En la cause Madame A______, domiciliée ______, à GENÈVE recourante contre OFFICE CANTONAL DE L'EMPLOI, sis rue des Gares 16, Genève intimé EN FAIT A.      a. Madame A______ (ci-après : l’assurée), née le ______ 1977, s’est inscrite à l’office régional de placement (ci-après : l’ORP) le 13 mai 2019. Le 12 novembre 2020, l’ORP a communiqué à l’assurée une assignation à un emploi de secrétaire coordinatrice de décanat auprès du B______, danse et théâtre de Genève (ci-après : l’employeur) ; l’assurée devait, dans un délai au 14 novembre 2020, postuler à l’adresse e-mail : recrutement@B______.ch. b. L’assurée a fait l’objet d’une suspension de son droit à l’indemnité pour une période de 4 jours pour recherches personnelles d’emploi (RPE) insuffisantes avant chômage et 6 jours pour RPE insuffisantes en juin 2019. c. Par courriel du 13 novembre 2020, l’assurée a transmis son dossier de candidature à l’adresse e-mail recrutement@C______.ch, que l’employeur n’a pas reçu, avec une copie cachée à sa conseillère en placement, que celle-ci a reçu. A la demande de l’office cantonal de l’emploi (ci-après : l’OCE), l’assurée a expliqué qu’elle avait effectivement postulé auprès de l’employeur, avec copie cachée à sa conseillère en placement, qu’elle constatait avoir fait une erreur dans l’adresse e-mail, sans avoir reçu en retour de message d’erreur et demandait si elle pouvait encore postuler. B.       a. Par décision du 5 mars 2021, l’OCE a suspendu le droit de l’assurée à l’indemnité pour une durée de 22 jours, au motif que l’assurée, en commettant deux erreurs d’orthographe dans l’adresse e-mail de l’employeur, avait fait preuve de négligence. b. L’assurée a fait opposition à cette décision, en faisant valoir qu’elle avait dû fournir une lettre manuscrite dans le cadre de sa postulation qui lui avait demandé du temps, ce qu’elle avait fait volontiers car elle était motivée par le poste ; l’erreur dans l’adresse e-mail entrainait des conséquences financières qui la mettait dans une situation très difficile, ayant deux enfants à charge. Elle demandait une réduction de la sanction. c. Par décision du 16 avril 2021, l’OCE a rejeté l’opposition de l’assurée. d. L’assurée a recouru à l’encontre de cette décision auprès de la chambre des assurances sociales de la Cour de justice, en faisant valoir qu’elle avait commis une faute d’orthographe dont elle n’avait pas pu ensuite se rendre compte et qu’elle prenait ses obligations de chômeuse très au sérieux. L’OCE a persisté dans les conclusions de sa décision.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22 jours du droit à l’indemnité de la recourante. 4.        a. 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 3).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Est assimilé à un refus d’emploi convenable le fait de ne pas donner suite à une assignation à un travail réputé convenable (ATF 122 V 34 consid. 3b ; arrêt 8C 468/2020 du 27 octobre 2020 consid. 3.2 et les références).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précité ; arrêts 8C 750/2019 du 10 février 2020 consid. 4.1 ; 8C 865/2014 du 17 mars 2015 consid. 3 et les références). b. Les erreurs de courriers électroniques relèvent également du refus d’emploi, car il s’agit de démarches importantes auxquelles l’assuré doit être particulièrement attentif. Ainsi, le Tribunal fédéral a retenu que, compte tenu du manque de fiabilité du trafic électronique en général, et en particulier des difficultés liées à la preuve de l’arrivée d’un message électronique dans la sphère de contrôle du destinataire, l’expéditeur d’un courriel était tenu de vérifier soigneusement l’adresse auprès de l’employeur sur la réception de sa candidature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(cf. ATF 145 V 90 consid. 3.2 et les références), que son envoi ne parvienne pas – ou pas dans un délai prévu – auprès du destinataire (cf. ATF 145 V 90 consid. 6.2.2 ; arrêts 8C_339/2016 du 29 juin 2016 consid. 4.4 ; 2C_699/2012 du 22 octobre 2012 consid. 4.2 ; arrêt du Tribunal fédéral 8C 756/2020 du 3 août 2021). 5.        a.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Dans ce dernier cas, la faute est grave seulement si l’assuré ne peut pas faire valoir un motif valable, soit qui fait apparaitre la faute comme étant de gravité moyenne ou légère. Il peut s’agir, dans le cas concret, d’un motif lié à la situation subjective de la personne concernée ou à des circonstances objectives (ATF 141 V 365 consid. 4.1 ; 130 V 125 consid. 3.5). Ainsi, dans un arrêt C 230/01 du 13 février 2003 (DTA 2003 n°26 p. 248, consid. 3.3), l’ancien Tribunal fédéral des assurances a qualifié de faute de gravité moyenne – justifiant une suspension d’une durée de 19 jours – le refus d’un assuré d’accepter une modification du contrat de travail au sujet de la période durant laquelle il pouvait prendre ses vacances. Si les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n°117 ad. Art. 30 LACI et les références ; arrêt du Tribunal fédéral 8C 756/2020 précité). b.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D72.2B.1) 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 Le barème du SECO ne dispense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8C 406/2020 du 28 avril 2021 consid. 4.3 ; 8C 601/2012 du 26 février 2013 consid. 4.1 et les références, non publié in ATF 139 V 164 ). Elles pourront le cas échéant aller en dessous du minimum prévu par le barème indicatif (arrêts 8C 2/2012 du 14 juin 2012 consid. 3.2 ; 8C 64/2012 du 26 juin 2012 consid. 3.2). Le barème du SECO prévoit une suspension d’une durée de 34 à 41 jours en cas de premier refus d’un emploi convenable d’une durée déterminée de six mois (Bulletin LACI IC, ch. D79/2.A/9 ; arrêt du Tribunal fédéral 8C 756/2020 précité). 6.        Dans un arrêt du 3 août 2021 (8C 756/2020), le Tribunal fédéral a confirmé une suspension de 34 jours du droit à l’indemnité d’un assuré qui, alors qu’il postulait suite à une assignation de l’OCE, avait commis une erreur dans la saisie de l’adresse électronique de l’employeur et n’avait entrepris aucune démarche ultérieure alors même qu’il avait reçu immédiatement un message d’erreur l’informant de l’échec de son envoi. 7.        En l’occurrence, la recourante a, suite à l’assignation du 12 novembre 2020, postulé dans le délai imparti, en joignant les documents demandés, notamment une lettre de motivation manuscrite et transmis cette postulation, dans le même temps, à sa conseillère en personnel. Elle a cependant commis deux fautes d’orthographe dans l’adresse e-mail de l’employeur, de sorte que la postulation n’est pas parvenue à celui-ci. En ne vérifiant pas soigneusement l’adresse saisie, la recourante a ainsi commis une faute, conformément à la jurisprudence du Tribunal fédéral précitée. S’agissant de sa gravité, il convient de tenir compte du fait qu’aucun message d’erreur d’envoi n’est parvenu en retour à la recourante, ce qui n’est pas contesté par l’intimé, de sorte que, celle-ci, contrairement à l’assuré dans l’arrêt du Tribunal fédéral précité (8C 756/2020), n’a pas été avertie de l’échec de son envoi et n’a pas pu rectifier immédiatement son erreur. En outre, la recourante a été assignée à un grand nombre d’emplois depuis son inscription auprès de l’intimé, soit 26 assignations, auxquelles elle a à chaque fois donné suite, démontrant qu’elle entendait se soumettre avec sérieux à ses obligations de chômeuse. C’est ainsi à juste titre que l’intimé a considéré que la recourante avait commis non pas une faute grave mais une faute de sévérité moyenne, et a retenu une sanction de 16 jours de suspension correspondant à la sanction minimale pour une faute moyenne, en la majorant de 6 jours en raison des antécédents au dossier. 8.        Partant, le recours ne peut qu’être rejeté et la suspension du droit à l’indemnité de la recourante de 22 jours confirmée.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