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A/1600/2002 vom 21. Januar 2004</w:t>
      </w:r>
    </w:p>
    <w:p>
      <w:r>
        <w:t>GE Cour de justice, 2004-01-21, FR</w:t>
      </w:r>
    </w:p>
    <w:p>
      <w:r>
        <w:rPr>
          <w:b/>
        </w:rPr>
        <w:t xml:space="preserve">Quelle: </w:t>
      </w:r>
      <w:r>
        <w:t>https://mcp.opencaselaw.ch/entscheid/ge_gerichte_A_1600_2002</w:t>
      </w:r>
    </w:p>
    <w:p>
      <w:r>
        <w:t>FR: GE_GERICHTE A/1600/2002 du 21 janvier 2004</w:t>
      </w:r>
    </w:p>
    <w:p>
      <w:r>
        <w:t>IT: GE_GERICHTE A/1600/2002 del 21 gennaio 2004</w:t>
      </w:r>
    </w:p>
    <w:p>
      <w:pPr>
        <w:pStyle w:val="Heading2"/>
      </w:pPr>
      <w:r>
        <w:t>Volltext</w:t>
      </w:r>
    </w:p>
    <w:p>
      <w:r>
        <w:t>Genève Cour de justice (Cour de droit public) Chambre des assurances sociales 21.01.2004 A/1600/2002</w:t>
      </w:r>
    </w:p>
    <w:p>
      <w:r>
        <w:t>A/1600/2002 ATAS/27/2004 du 21.01.2004 ( PC ) , ADMIS RÉPUBLIQUE ET CANTON DE GENÈVE POUVOIR JUDICIAIRE a/1600/02/2/pc ATAS/27/2004 ARRÊT DU TRIBUNAL CANTONAL DES ASSURANCES SOCIALES du 21 janvier 2004 2ème Chambre En la cause Madame S__________, recourante contre OFFICE CANTONAL DES PERSONNES AGEES, rte de Chêne 54 à Genève intimé Vu le recours , la procédure et les pièces au dossier; Vu l’audience d’enquêtes du 30 septembre 2003 et l’audience de comparution des parties de ce jour ; Vu l’accord intervenu entre les parties ; PAR CES MOTIFS, LE TRIBUNAL CANTONAL DES ASSURANCES SOCIALES : Statuant d’accord entre les parties Donne acte à l’OCPA de ce qu’elle renonce à prendre en compte un revenu théorique pour l’époux dans le calcul des prestations complémentaires dues à la recourante. Donne acte en conséquence à l’OCPA de son accord à ce que la décision soit annulée et le dossier renvoyé à l’OCPA pour nouveau calcul. L’y condamne en tant que de besoin. Raye la cause du rôle.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