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A/1591/2022 vom 18. Oktober 2022</w:t>
      </w:r>
    </w:p>
    <w:p>
      <w:r>
        <w:t>GE Cour de justice, 2022-10-18, FR</w:t>
      </w:r>
    </w:p>
    <w:p>
      <w:r>
        <w:rPr>
          <w:b/>
        </w:rPr>
        <w:t xml:space="preserve">Quelle: </w:t>
      </w:r>
      <w:r>
        <w:t>https://mcp.opencaselaw.ch/entscheid/ge_gerichte_A_1591_2022</w:t>
      </w:r>
    </w:p>
    <w:p>
      <w:r>
        <w:t>FR: GE_GERICHTE A/1591/2022 du 18 octobre 2022</w:t>
      </w:r>
    </w:p>
    <w:p>
      <w:r>
        <w:t>IT: GE_GERICHTE A/1591/2022 del 18 ottobre 2022</w:t>
      </w:r>
    </w:p>
    <w:p>
      <w:pPr>
        <w:pStyle w:val="Heading2"/>
      </w:pPr>
      <w:r>
        <w:t>Erwägungen</w:t>
      </w:r>
    </w:p>
    <w:p>
      <w:r>
        <w:rPr>
          <w:b/>
        </w:rPr>
        <w:t>E. 14</w:t>
      </w:r>
    </w:p>
    <w:p>
      <w:r>
        <w:t>novembre 2018, que les éléments réglementés rejoignaient en tous points le régime applicable en droit privé. Ce constat était corroboré par les dispositions instituant la prise en charge financière des armes et équipements par l’État et le fait que le temps mis à disposition de l’employeur en dehors du temps de service usuel ne l’était jamais à titre gratuit. Il ressortait ainsi de la législation que le temps pour l’habillement devait être comptabilisé comme temps de travail. L’exigence de consacrer une demi-heure par jour de son temps libre pour vêtir et dévêtir l’uniforme imposé par son employeur était une ingérence grave dans sa liberté personnelle, sa vie privée et familiale et ce à titre gratuit. Cette contrainte, qui ne reposait sur aucune base légale, violait également le principe de la légalité. La décision litigieuse consacrait une inégalité de traitement d’une part, envers les autres collaborateurs soumis à des rapports de droit public, tels que les soignants de l’IMAD, pour lesquels aucune réglementation ne prévoyait non plus d’indemnisation du temps d’habillage, d’autre part à l’égard des agents de détention non-tenus au port de l’uniforme. Enfin, la situation était traitée de manière identique entre les quatre collaborateurs qui avaient demandé une décision sur cette question, alors que leur situation concrète n’était pas la même. 8) Dans le cadre de son mémoire réponse du 4 juillet 2022, le département de la sécurité, de la population et de la santé (ci-après : le département) a conclu au rejet du recours, sous suite de frais et dépens. ![endif]&gt;![if&gt; Au cours des négociations qui avaient été menées avec le Conseil d’État durant les années 2009 et 2010, les syndicats n’avaient pas abordé la question d’une contrepartie pécuniaire au temps consacré à l’habillement de service. Le recours faisait partie d’une série de démarches judiciaires des agents de détention genevois tendant à obtenir des compléments de rémunération, tantôt par l’application du régime de décompte et compensation du temps de travail, tantôt par l’application extensive d’indemnités spécifiques du droit cantonal. L’absence de règles incluant le temps d’habillement dans le temps de travail ou allouant une indemnisation spécifique en contrepartie constituait un silence qualifié. L’ensemble normatif devait donc être compris comme imposant aux agents de détention le devoir de porter l’uniforme et de prendre le temps nécessaire à cet effet en dehors du temps consacré au service, sans rémunération. Cette exigence ne devait pas s’analyser comme une restriction des droits fondamentaux. Même à admettre que tel soit le cas, cela ne constituait pas une restriction inadmissible auxdits droits. Aucune obligation de se changer deux ou quatre fois par service n’était imposée aux agents de détention par leur employeur puisqu’ils pouvaient porter la tenue de service sur le trajet entre le domicile et le lieu de travail ainsi que pendant les pauses. Le grief de violation de la liberté personnelle était donc infondé, tout comme celui d’une violation du principe de l’égalité de traitement. Les actions des travailleurs se prescrivant par cinq ans, les prétentions antérieures au 22 novembre 2016 étaient de toute façon prescrites. 9) Dans sa réplique du 14 septembre 2022, le recourant a persisté dans son recours, sollicitant son audition pour attester du temps réellement nécessaire à l’habillement, que l’autorité sous estimait manifestement.![endif]&gt;![if&gt; Le fait qu’il puisse ou non se changer à son domicile n’était pas pertinent, l’indemnisation due au titre du temps mis à la disposition de l’employeur étant pareillement due, qu’il soit pris au domicile ou sur le lieu de travail. Le législateur n’avait à l’évidence pas appréhendé la problématique de la définition du temps de travail pour les agents de détention contraints de revêtir un uniforme. L’interpellation du 26 mars 2021 avait, même à admettre la prescription quinquennale, interrompu celle-ci. 10) Le 16 septembre 2022, les parties ont été informées que la cause était gardée à juger.![endif]&gt;![if&gt; EN DROIT 1. Interjeté en temps utile devant la juridiction compétente, le recours est recevable (art. 132 de la loi sur l'organisation judiciaire du 26 septembre 2010 - LOJ - E 2 05 ; art. 62 al. 1 let. a LPA). 2) Préalablement, le recourant sollicite l'apport du dossier intégral par le Conseil d’État, une audience de comparution personnelle et l’ouverture d’enquêtes.![endif]&gt;![if&gt;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suppose que le fait à prouver soit pertinent, que le moyen de preuve proposé soit nécessaire pour constater ce fait et que la demande soit présentée selon les formes et délais prescrits par le droit cantonal (ATF 119 Ib 492 consid. 5b/bb).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b. En l’espèce, le recourant sollicite son audition afin qu’il puisse attester du temps réellement nécessaire pour revêtir son uniforme. Cela étant, il a déjà affirmé qu’il correspondait à quinze minutes. On ne voit dès lors pas ce que son audition pourrait apporter de plus à la résolution du litige, étant précisé que cet élément n’est de toute façon pas déterminant pour les motifs qui seront exposés aux considérants ci-dessous. L’intimé a produit un chargé contenant plusieurs pièces. Son dossier paraît complet, ce que le recourant ne remet pas en cause. Ce dernier ne sollicite au demeurant pas la production d’un document particulier en sus ni son utilité pour la résolution du litige. Pour le surplus, la chambre de céans dispose d'un dossier complet lui permettant de trancher le litige en toute connaissance de cause, sans procéder à d’autres actes d’instruction. 3) Le recourant se plaint d’un déni de justice au motif que l’autorité intimée aurait limité son pouvoir de cognition et son examen de la demande qui lui était soumise à l’arbitraire. Ce grief doit être examiné en premier lieu dès lors qu'il est de nature à entraîner l'annulation de la décision attaquée indépendamment des chances de succès du recours au fond (ATF 141 V 557 consid. 3 et arrêt du Tribunal fédéral 2D_54/2014 du 23 janvier 2015 consid. 4 ; ATA/399/2022 du 12 avril 2022 consid. 4). ![endif]&gt;![if&gt; a. Selon la jurisprudence, l'autorité qui ne traite pas un grief relevant de sa compétence, motivé de façon suffisante et pertinent pour l'issue du litige, commet un déni de justice formel proscrit par l'art. 29 de la Constitution fédérale de la Confédération suisse du 18 avril 1999 (Cst. - RS 101 ; ATF 136 I 6 consid. 2.1 ; 117 Ia 116 consid. 3a et les références citées). Il en va de même lorsqu'elle restreint sa cognition à l'arbitraire alors même qu'elle dispose d'un plein pouvoir d'examen (arrêt du Tribunal fédéral 1A.25/2006 du 13 mars 2007 consid. 4.1). S'agissant d'une autorité judiciaire, le déni de justice, tel qu'il vient d'être décrit, peut constituer une violation de la garantie de l'accès au juge ancrée à l'art. 29a Cst. Cette disposition donne en effet le droit d'accès à une autorité judiciaire exerçant un pouvoir d'examen complet sur les faits et du droit (ATF 137 I 235 consid. 2.5 et consid. 2.5.2). Tel qu'il est garanti par l'art. 29 al. 2 Cst.,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En l’espèce, le recourant reproche à l’autorité intimée de s’être exclusivement fondée sur le raisonnement du Tribunal fédéral dans l’arrêt 8C_514/2020 précité pour considérer que seul le droit cantonal s’appliquait et rejeter sa demande, alors même que le Tribunal fédéral avait limité son examen à l’arbitraire, ce qui ne saurait être la limite du pouvoir d’examen du Conseil d’État. Le recourant ne saurait toutefois être suivi. En effet, le Conseil d’État a d’abord relevé, dans la décision litigieuse, que les rapports de travail du personnel de l’administration cantonale étaient soumis au droit public cantonal uniquement et non aux dispositions relevant du droit privé. Pour ce faire, il s’est appuyé sur la doctrine, se référant à titre exemplatif à l’arrêt du Tribunal fédéral précité, lequel examinait l’application des dispositions légales de la LTr et de l’OLT 1 aux administrations cantonales. Après avoir passé en revue plusieurs dispositions légales et règlementaires cantonales applicables au personnel pénitentiaire, il a constaté qu’il n’était pas prévu que le temps consacré au changement de tenue donne droit à une indemnisation ou une compensation. Il est ainsi arrivé à la conclusion – à tort ou à raison – que le personnel pénitentiaire en uniforme était tenu d’entrer en service après s’être équipé de l’uniforme propre à la fonction, sans que le temps y consacré ne soit comptabilisé dans le temps de travail ni ne fasse l’objet d’une indemnisation spécifique en complément du traitement. Le Conseil d’État a ensuite relevé, sur la base de l’arrêt précité, que le Tribunal fédéral avait d’ailleurs jugé qu’une telle solution n’était pas arbitraire. Le Conseil d’État a enfin relevé, pour le surplus, que la durée indispensable pour le changement de tenue avait été évalué de manière excessive. C’est donc à tort que le recourant prétend que l’autorité intimée aurait limité son examen à l’arbitraire, de sorte que ce grief sera écarté. 4) La LTr s'applique, sous réserve de ses art. 2 à 4, à toutes les entreprises publiques et privées (art. 1 al. 1 LTr). Il y a entreprise selon la loi lorsqu'un employeur occupe un ou plusieurs travailleurs de façon durable ou temporaire, même sans faire usage d'installations ou de locaux particuliers (art. 1 al. 2 1 ère phr. LTr).![endif]&gt;![if&gt; Sous le titre marginal « exception quant aux entreprises », l'art. 2 al. 1 LTr dispose que la loi ne s'applique pas, sous réserve de son art. 3a, notamment aux administrations fédérales, cantonales et communales, sous réserve de l'art. 2 al. 2 LTr (let. a). Autrement dit, seules les dispositions visées par l'art. 3a LTr s'appliquent aux administrations fédérales, cantonales et communales (arrêt du Tribunal fédéral C_789/2020 du 4 novembre 2021 consid. 4.3.1). L'art. 3a let. a LTr est une contre-exception du champ d'application, lequel prévoit que les dispositions de la loi relatives à la protection de la santé (art. 6, 35 et 36a) s'appliquent aussi à l'administration fédérale ainsi qu'aux administrations cantonales et communales (arrêt du Tribunal fédéral 8C_789/2020 précité consid. 4.3.2 ; Stéfanie MEIER-GUBSER, Aspects méconnus de la LTr : champ d'application, protection de la santé, durées du travail et du repos, in L'expert fiduciaire: revue professionnelle et organe officiel de publication de l'Union suisse des fiduciaire TREX 2019/1/37 ss, spéc. p. 38-39). L'énumération des dispositions applicables selon l'art. 3a LTr est exhaustive. À côté des art. 6, 35 et 36a LTr qui y sont expressément mentionnés, elle ne comprend pas d'autres dispositions protectrices, y compris celles dont l'objet peut également avoir une influence sur la santé des travailleurs ; en particulier, les dispositions sur la durée du travail, l'aménagement des horaires et le repos (art. 9 à 28 LTr) ne sont pas comprises dans la contre-exception faite en faveur de la protection de la santé des travailleurs (arrêt 8C_789/2020 précité consid. 4.3.2 ; Stéphanie MEIER-GUBSER, op. cit., TREX 2019/1/37 ss, spéc. p. 40). 5) a. En tant qu’agent de détention, le recourant était soumis à l’ancienne loi sur l’organisation et le personnel de la prison du 21 juin 1984 (aLOPP - F 1 50) et à son règlement d’application du 30 septembre 1985 (aROPP - F 1 50.01). Depuis le 1 er mars 2017, il est soumis à la loi l’organisation des établissements et le statut du personnel pénitentiaire du 3 novembre 2016 (LOPP - F 1 50), qui a abrogé l’aLOPP (art. 34 LOPP), et au règlement sur l’organisation des établissements et le statut du personnel pénitentiaire du 22 février 2017 (ROPP - F 1 50.01), lequel a abrogé l’aROPP (art. 65 let. a ROPP). Depuis le 1 er octobre 2012, il est également soumis au règlement fixant les indemnités pour la direction et le personnel de surveillance des établissements de détention du 31 octobre 2012 (RIED - F 1 50.09).![endif]&gt;![if&gt; b. Selon l’art. 6 LOPP,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LOPP (al. 1). Il est de même soumis à la loi concernant le traitement et les diverses prestations alloués aux membres du personnel de l'État, du pouvoir judiciaire et des établissements hospitaliers du 21 décembre 1973 (LTrait - B 5 15) et à ses dispositions d’application (al. 2). Des droits particuliers sont notamment prévus aux art. 15 et 16 LOPP, et l’art. 29 LOPP prévoit que le Conseil d'État détermine par règlement la nature et le montant des indemnités et compensations auxquelles ont droit les membres du personnel pénitentiaire. L’art. 30 ROPP charge l’autorité compétente de fixer l’horaire de travail et le type d’horaires pour chaque membre du personnel pénitentiaire en fonction des nécessités de l'activité (al. 1). Cet horaire est réputé horaire réglementaire (al. 2). Tout horaire de travail et type d’horaire peut être modifié par l’autorité compétente afin de répondre aux nécessités de l’activité (al. 3). Pour le personnel pénitentiaire soumis à l’horaire irrégulier, la direction générale fixe par voie de directive les conditions dans lesquelles les horaires sont définis et sont modifiables (art. 56 al. 2 ROPP). Pour le personnel pénitentiaire non soumis à l’horaire irrégulier, l’art. 8A du règlement d’application de la loi générale relative au personnel de l’administration cantonale, du pouvoir judiciaire et des établissements publics médicaux du 24 février 1999 (RPAC - B 5 05.01) s’applique (art. 56A ROPP). Les art. 50 à 55 ROPP, prenant place dans le chapitre intitulé « droits et devoirs spécifiques du personnel pénitentiaire », traitent des différents indemnités, compensations ou débours auxquels le personnel pénitentiaire peut prétendre. Sous le titre « heures supplémentaires et service de piquet », les art. 56 à 59 ROPP traitent entre autres de la compensation des heures supplémentaires. c. Le RIED s'applique à la direction et au personnel de surveillance des établissements de détention (art. 1). Il prévoit des indemnités pour risques inhérents à la fonction (art. 2) et pour service de nuit et travaux spéciaux (art. 3). d. Sous la note marginale « habillement », l’art. 31 LOPP prévoit que les agents de détention sont armés et équipés aux frais de l’État (al. 1). Sauf dispositions contraires, les agents de détention portent l’uniforme (al. 2). Sous la note marginale « tenues vestimentaires et accessoires du personnel pénitentiaire », l’art. 6 ROPP prévoit que la direction générale définit une pratique transversale en matière de gestion et de commande des tenues vestimentaires et accessoires (al. 1). Dans ce cadre, les établissements évaluent leurs besoins en tenues vestimentaires et accessoires, sur la base des effectifs en personnel et des besoins de celui-ci (al. 2). La direction générale règle par directive le port de l’uniforme dans les établissements (al. 3). L’art. 50 ROPP prévoit en outre que les cas dans lesquels les agents de détention ne doivent pas porter l’uniforme dans le cadre de l’accomplissement de leur travail sont définis par la direction de l’établissement, en fonction des besoins du service et dans le respect de la directive prévue à l’art. 6 al. 3. e. La directive n° 5.2 concernant « l’habillement et la gestion des uniformes des agents de détention », entrée en vigueur le 1 er octobre 2017, a pour objectif de régler la tenue portée par le personnel uniformé de l’office cantonal de la détention (ci-après : OCD), l’organisation, la dotation et le renouvellement des diverses pièces d’uniforme pour l’ensemble des agents de l’OCD. À propos du port de l’uniforme, elle prévoit que l’uniforme ou une tenue civile peuvent être portés indifféremment entre le domicile et le lieu de travail (art. 3.1.c.a) et que dans tous les cas, le personnel porte son uniforme dès sa prise de service et jusqu’à la fin de celui-ci (art. 3.1.c.b), des exceptions étant prévues en cas de conduite accompagnée (art. 3.1.c.c). Le personnel doit exécuter son service vêtu de la tenue prescrite (art. 3.1.c.d). L'équipement des agents de détention est fourni par l'État (art. 3.2 à 3.4). Il comprend l'équipement collectif et l'équipement personnel (armement, matériel et tenues d'uniforme). La tenue de service chaude comprend, outre les vêtements proprement dits, une ceinture de charge, un gilet multi-poches, des gants de protection et des gants chauds (art. 3.7.1). La tenue de service allégée comprend une ceinture de charge et des gants de protection (art. 3.7.b). La tenue spéciale des gardes GSCD et des gardes armés comprend en outre un étui à menottes, un pistolet dans son étui et un spray au poivre dans son étui (art. 3.8). 6) a. Le principe de la légalité, consacré à l'art. 5 al. 1 Cst., exige que les autorités n'agissent que dans le cadre fixé par la loi. ![endif]&gt;![if&gt;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 ATA/317/2020 du 31 mars 2020 consid. 2d ; Thierry TANQUEREL, Manuel de droit administratif, 2 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 ATA/317/2020 précité consid. 2d ; Thierry TANQUEREL, op. cit., n. 441). 7) À titre préalable, il sera relevé que le recourant indique qu’il est soumis à des horaires continus, sans pause, de sorte que l’hypothèse d’un changement de tenue quatre fois par jour ne le concerne pas et ne sera donc pas examinée.![endif]&gt;![if&gt; En l’espèce, les parties s’accordent sur le fait qu’il n’existe aucune base légale ou règlementaire cantonale prévoyant expressément que le temps consacré au changement de tenue du personnel pénitentiaire soumis au port d’un uniforme serait comptabilisé comme temps de travail et/ou donnerait droit à une indemnité. L’autorité intimée en conclut que la demande du recourant devrait dès lors être rejetée. Ce dernier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équivalant. Toutefois, aucun élément ne permet de constater qu’un régime similaire au droit privé devrait être appliqué en l’espèce. En particulier, le fait que la directive DS COPP.01 intitulée « directive générale sur le temps de travail », entrée en vigueur le 30 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directive n° 5.2 concernant « l’habillement et la gestion des uniformes des agents de détention », qui prévoit le port de l’uniforme obligatoire dès la prise de service, rejoindrait précisant celui prévalant en droit privé. Le recourant tente par ces allégations, à tort, de fonder un rattachement avec la LTr et plus particulièrement l’art. 13 OLT 1 alors même que cette législation n’est pas applicable, sous réserve des art. 6, 35 et 36a LTr au personnel des administrations publiques et donc du personnel de la police. En outre, il ne saurait être tiré de l’art. 31 al. 1 LOPP, qui prévoit que les agents de détention sont armés et équipés aux frais de l’État, qu’une rémunération devrait leur être allouée pour le temps passé à revêtir et dévêtir leur uniforme. Le fait que l’art. 56 ROPP prévoie la rémunération des heures supplémentaires, ne permet pas non plus d’arriver à ce constat. Même à admettre l’application de la LTr et en particulier de l’art. 13 OLT 1 cité par le recourant, la conclusion ne serait pas différente. Pour rappel,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 train ou de tout autre endroit, le lieu en soi n’est pas pris en considération (ad. art. 13 OLT 1, p. 113 - 1). À teneur dudit commentaire, pour être considéré comme temps de travail, il faut que des mesures soient nécessairement prises pour des raisons de sécurité, d'hygiène ou de santé « au travail ». Cela implique que la mesure doive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 En l’occurrence, aucune disposition légale ou règlementaire ni aucune directive n’interdit au personnel pénitentiaire soumis au port de l’uniforme de se rendre sur son lieu de travail vêtu de celui-ci. Au contraire, l’art. 3.1.c.a directive n° 5.2 concernant « l’habillement et la gestion des uniformes des agents de détention » prévoit expressément que l’uniforme peut être portés entre le domicile et le lieu de travail. Il va en revanche de soi que lorsque le membre du personnel pénitentiaire doit changer de tenue sur son lieu de travail, par exemple dans le cadre d’une mission déterminée, il s’agit de temps de travail comptabilisé comme tel. Il n’est par ailleurs pas contesté que l’arme de service fait partie des outils de travail de certains membres du personnel pénitentiaire. Cela étant, les obligations relatives sont les mêmes pour le personnel de police en civil, de sorte qu’il n’y a pas de lien direct avec le port de l’uniforme, et donc avec l’indemnisation que le recourant souhaite obtenir à ce titre. Dans ces conditions, il n’est nul besoin d’instruire ni de discuter la question du temps consacré par le recourant à revêtir, respectivement dévêtir, son uniforme. 8) Le recourant considère que la décision litigieuse consacrerait une inégalité de traitement avec les autres collaborateurs soumis à des rapports de droit public, tels que les soignants de l’IMAD, qui ont droit à l’indemnisation de leur temps d’habillage, ou encore les agents de détention non tenus au port de l’uniforme. La situation serait à l’inverse traitée de manière identique entre les quatre collaborateurs ayant sollicité une décision sur cette question, alors que leur situation concrète ne serait pas la même.![endif]&gt;![if&gt; a.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 ATA/422/2021 du 20 avril 2021 consid. 5d). L'inégalité de traitement apparaît comme une forme particulière d'arbitraire, consistant à traiter de manière inégale ce qui devrait l'être de manière semblable ou inversement (ATF 142 I 195 consid. 6.1 ; 137 I 167 consid. 3.5 ; 129 I 346 consid. 6 ; ATA/1146/2019 du 19 juillet 2019 consid. 5a). b. En l’espèce, contrairement à ce que relève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lesquels le personnel de cette institution a contact. Alors que l’uniforme des agents de détention peut être revêtu au domicile ou sur le lieu de travail, il est notoire que les vêtements de travail du personnel soignant sont, pour des motifs d’hygiène, revêtus sur le lieu de travail uniquement. Il n’existe pas non plus d’inégalité de traitement par rapport au personnel pénitentiaire non soumis au port d’un uniforme, dès lors que pour l’une ou l’autre catégorie, l’obligation reste la même, à savoir se vêtir avant de se rendre au travail. Dans tous les cas, aucune obligation n’est imposée au recourant de revêtir son uniforme sur son lieu de travail plutôt qu’à son domicile. Enfin, le présent litige se rapporte exclusivement à la situation du recourant et non à celle des autres membres du personnel de l’État ayant sollicité des décisions pour les mêmes motifs que ceux invoqués par celui-ci. Cela étant, le fait que des décisions similaires aient été rendues n’apparaît pas critiquable dès lors que, même soumis à des horaires différents, la problématique et les normes légales applicables aux autres recourants sont en substance les mêmes. Ce grief sera dès lors écarté. 9) Le recourant considère que le fait de lui imposer de consacrer une demi-heure, respectivement une heure, par jour de son temps libre à vêtir et dévêtir son uniforme représenterait une ingérence grave dans sa liberté personnelle ainsi que sa vie privée et familiale.![endif]&gt;![if&gt; a. La liberté personnelle (art. 10 al. 2 Cst.) garantit aux personnes physiques la liberté de mouvement (ATF 142 I 135 consid. 4.1) ainsi que tous les aspects élémentaires de l'épanouissement personnel (ATF 142 I 195 consid. 3.2). 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 b. Les droits fondamentaux peuvent être restreints, pour autant que la restriction soit fondée sur une base légale, repose sur un intérêt public ou sur la protection d'un droit fondamental d'autrui et soit proportionnée au but visé (art. 36 Cst.). Selon la jurisprudence, les restrictions graves aux libertés nécessitent une base légale claire et nette dans une loi formelle que le Tribunal fédéral revoit avec plein pouvoir d'examen (ATF 127 I 6 consid. 6 ; Giorgio MALINVERNI/ Michel HOTTELIER/Maya HERTIG RANDALL/Alexandre FLÜCKIGER, Droit constitutionnel suisse, vol. II, 4 ème éd., 2021, n. 194), alors que les atteintes plus légères peuvent, par le biais d'une délégation législative, figurer dans des actes de niveau inférieur à la loi, ou trouver leur fondement dans une clause générale (ATF 123 I 112 consid. 7 ; 122 I 360 consid. 5b/bb ; ATA/488/2021 du 27 avril 2021 consid. 5a).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 c. La question de savoir si le fait d’imposer une tenue spécifique pour l’exercice d’une profession constituerait une atteinte aux droits fondamentaux précités n’est ici pas litigieuse, le recourant relevant lui-même que le droit d’imposer l’uniforme n’a jamais été contesté. Seul est ainsi remis en cause le fait que l’habillage soit imposé durant son temps libre, sans contrepartie financière. Or, comme le relève à juste titre l’autorité intimée, l’élément qu’il dénonce est ainsi uniquement le fait de ne pas être rémunéré, ce qui ne constitue pas en tant que tel une atteinte à sa liberté personnelle ou à son droit au respect de sa sphère privée. Pour le surplus, même à admettre l’existence d’une atteinte à un droit fondamental – ce qui est contesté , il n’en découlerait pas, comme semble le prétendre le recourant, le droit à obtenir une indemnisation. Le constat d’une telle atteinte pourrait certes aboutir à l’annulation de la décision s’y rapportant, mais ne saurait être réparée par l’allocation d’une indemnité. 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écartées.![endif]&gt;![if&gt; Mal fondé, le recours sera rejeté. 11) Vu l’issue du litige, un émolument de CHF 1’000.- sera mis à la charge du recourant, qui succombe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