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A/1590/2004 vom 28. September 2004</w:t>
      </w:r>
    </w:p>
    <w:p>
      <w:r>
        <w:t>GE Cour de justice, 2004-09-28, FR</w:t>
      </w:r>
    </w:p>
    <w:p>
      <w:r>
        <w:rPr>
          <w:b/>
        </w:rPr>
        <w:t xml:space="preserve">Quelle: </w:t>
      </w:r>
      <w:r>
        <w:t>https://mcp.opencaselaw.ch/entscheid/ge_gerichte_A_1590_2004</w:t>
      </w:r>
    </w:p>
    <w:p>
      <w:r>
        <w:t>FR: GE_GERICHTE A/1590/2004 du 28 septembre 2004</w:t>
      </w:r>
    </w:p>
    <w:p>
      <w:r>
        <w:t>IT: GE_GERICHTE A/1590/2004 del 28 settembre 2004</w:t>
      </w:r>
    </w:p>
    <w:p>
      <w:pPr>
        <w:pStyle w:val="Heading2"/>
      </w:pPr>
      <w:r>
        <w:t>Volltext</w:t>
      </w:r>
    </w:p>
    <w:p>
      <w:r>
        <w:t>Genève Cour de justice (Cour de droit public) Chambre des assurances sociales 28.09.2004 A/1590/2004</w:t>
      </w:r>
    </w:p>
    <w:p>
      <w:r>
        <w:t>A/1590/2004 ATAS/762/2004 du 28.09.2004 ( AVS ) RÉPUBLIQUE ET CANTON DE GENÈVE POUVOIR JUDICIAIRE A/1590/2004 ATAS/762/2004 ORDONNANCE DU TRIBUNAL CANTONAL DES ASSURANCES SOCIALES du 28 septembre 2004 6 ème Chambre En la cause Monsieur B__________ , recourant contre CAISSE CANTONALE GENEVOISE DE COMPENSATION, route de Chêne 54, Genève et Madame B__________, intimée appelée en cause Attendu en fait que le 14 juillet 2004 M. B__________ a recouru au Tribunal cantonal des assurances sociales à l’encontre de la décision sur opposition du 9 juillet 2004 de la Caisse cantonale genevoise de compensation (ci-après : la CCGC) en contestant la procédure de splitting effectuée par la CCGC ; Que le 12 août 2004, la CCGC a conclu au rejet du recours ; Attendu en droit qu’il convient au préalable de préciser que la loi genevoise sur l’organisation judiciaire du 22 novembre 1941 (LOJ) a été modifiée et qu’un Tribunal cantonal des assurances sociales a été institué dès le 1er août 2003, statuant en instance unique, notamment sur les contestations relatives à la loi fédérale sur l’assurance-vieillesse et survivants du 20 décembre 1946 (cf. art. 1, let. r et 56V, al. 1, let. a, ch. 1 LOJ) ; Qu’en vertu de l’art. 71 al. 1 de la loi sur la procédure administrative du 12 septembre 1985 (LPA), l’autorité peut ordonner, d’office ou sur requête, l’appel en cause de tiers dont la situation juridique est susceptible d’être affectée par l’issue de la procédure ; la décision leur devient dans ce cas opposable ; Qu’en l’occurrence, la présente procédure concerne également Mme B__________, dès lors qu’elle porte sur la procédure de splitting effectuée par la CCGC relativement aux revenus des ex-époux B__________ ; Qu’il se justifie dès lors, d’appeler en cause Mme B__________. PAR CES MOTIFS, LE TRIBUNAL CANTONAL DES ASSURANCES SOCIALES : (conformément à la disposition transitoire de l’article 162 LOJ) Appelle en cause Mme B__________; Communique à Mme B__________ les pièces du dossier ; Impartit un délai à Mme B__________ au 31 octobre 2004 pour se prononcer sur le recours et répondre au courrier du Tribunal de céans du 28 septembre 2004 ; Informe les parties de ce qu'elles peuvent former recours contre le présent arrêt dans un délai de 10 jours dès sa notification par pli recommandé adressé au Tribunal fédéral des assurances, Schweizerhofquai 6, 6004 LUCERNE, en trois exemplaires. Ce mémoire doit : a) indiquer exactement quelle décision le recourant désire obtenir en lieu et place de la décision attaquée; b) exposer pour quels motifs le recourant estime pouvoir demander cette autre décision; c) porter la signature du recourant ou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au mémoire s'il s'agit de pièces en possession du recourant. Seront également jointes au mémoire la décision attaquée et l'enveloppe dans laquelle elle a été expédiée au recourant (art. 132, 106 et 108 OJ). La greffière : Nancy BISIN La Présidente :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