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A/1588/2004 vom 31. Mai 2005</w:t>
      </w:r>
    </w:p>
    <w:p>
      <w:r>
        <w:t>GE Cour de justice, 2005-05-31, FR</w:t>
      </w:r>
    </w:p>
    <w:p>
      <w:r>
        <w:rPr>
          <w:b/>
        </w:rPr>
        <w:t xml:space="preserve">Quelle: </w:t>
      </w:r>
      <w:r>
        <w:t>https://mcp.opencaselaw.ch/entscheid/ge_gerichte_A_1588_2004</w:t>
      </w:r>
    </w:p>
    <w:p>
      <w:r>
        <w:t>FR: GE_GERICHTE A/1588/2004 du 31 mai 2005</w:t>
      </w:r>
    </w:p>
    <w:p>
      <w:r>
        <w:t>IT: GE_GERICHTE A/1588/2004 del 31 maggio 2005</w:t>
      </w:r>
    </w:p>
    <w:p>
      <w:pPr>
        <w:pStyle w:val="Heading2"/>
      </w:pPr>
      <w:r>
        <w:t>Regeste</w:t>
      </w:r>
    </w:p>
    <w:p>
      <w:r>
        <w:t>Droit de rétention | LP.242.1, OAOF.51 et OAOF.53</w:t>
      </w:r>
    </w:p>
    <w:p>
      <w:pPr>
        <w:pStyle w:val="Heading2"/>
      </w:pPr>
      <w:r>
        <w:t>Erwägungen</w:t>
      </w:r>
    </w:p>
    <w:p>
      <w:r>
        <w:rPr>
          <w:b/>
        </w:rPr>
        <w:t>E. 2</w:t>
      </w:r>
    </w:p>
    <w:p>
      <w:r>
        <w:t>Tous les droits patrimoniaux saisissables dont le failli est titulaire au moment où il est déclaré en faillite (art. 175 LP) sont affectés au désintéressement des intervenants qui seront colloqués (art. 197 al. 1 LP), ainsi que ceux qui lui échoient jusqu’à la clôture de la faillite (art. 197 al. 2 LP), et le failli en est dessaisi (art. 204 al. 1 LP). Pour constater la composition de la masse active et la former, l’office dresse l’inventaire des droits patrimoniaux dont le faillit était titulaire au moment où il a été déclaré en faillite (art. 221 LP). Sont compris dans l’inventaire les objets indiqués comme étant la propriété de personnes tierces ou réclamées par des tiers. L’inventaire mentionne ces revendications (art. 225 LP). L’art. 242 al. 1 et 2 et les art. 45 à 54 OAOF règlent la compétence des organes de la masse, la procédure et l’attribution du rôle procédural dans la procédure judiciaire lorsque le droit patrimonial dont la distraction est revendiquée était en la « possession » exclusive du failli (Pierre-Robert Gilliéron , Commentaire, ad art. 242 n° 40). A teneur de l’art. 242 al. 1 LP, l’administration rend une décision sur la restitution des objets qui sont revendiqués par un tiers. L’administration de la faillite ne peut de son propre chef remettre aux tiers les objets qu’ils revendiquent. Elle ne fait que rendre une décision sur la restitution, sauf si la revendication est manifestement fondée, ou si la remise immédiate de l’objet revendiqué est manifestement dans l’intérêt de la masse ou encore lorsque le tiers fournit une caution suffisante (art. 51 OAOF ; Walter A. Stoffel , Voies d’exécution, § 11 n° 76). L’art. 53 OAOF règle, par ailleurs, le cas de concurrence lorsqu’un créancier réclame un droit de gage ou de rétention sur des biens au sujet desquels une revendication de propriété a également été formulée et stipule que si la masse reconnaît le bien-fondé de la revendication de propriété, le litige entre le revendiquant et le créancier gagiste est liquidé en dehors de la faillite (art. 53 premier tiret OAOF). Dans cette hypothèse, l’administration de la faillite restitue au tiers revendiquant l’objet du droit de propriété mobilière inventorié, épure l’inventaire, rectifie le cas échéant l’état de collocation (art. 61 al. 1 OAOF) et renvoie le failli, le tiers revendiquant un droit de distraction et l’intervenant revendiquant un droit de préférence à liquider le litige en dehors de la faillite. Dans ce cas de figure, il appartient à l’intervenant de requérir une poursuite en réalisation de gage contre le failli, le commandement de payer qui lui est destiné devant être notifié à l’administration de la faillite, et contre le tiers revendiquant ; tel est le cas lorsque dans la faillite du locataire, déclarée après que le bailleur de locaux commerciaux a, pour être protégé dans son droit de rétention, fait dresser inventaire (art. 283 LP), la masse admet la revendication d’un tiers qui se fonde sur le droit de propriété qu’il allègue (Pierre-Robert Gilliéron , Commentaire ad art. 242 n° 53 ; ATF 121 III 30, JdT 1997 II 29). Dans le cas particulier, les conditions dans lesquelles l’art. 51 OAOF autorise la restitution immédiate sont bien réalisées. L’Office, sur la base des divers contrats produits par les tiers revendiquants, pouvait considérer d’emblée que les revendications étaient fondées et remettre les biens aux tiers revendiquants, ce d’autant qu’il a expressément réservé les droits des créanciers. S’il y a lieu, c’est en dehors de la faillite que doivent être tranchés les litiges entre les plaignants et les tiers concernés. L’Office a par conséquent agi conformément à la procédure applicable en la matière. * * * * * PAR CES MOTIFS, LA COMMISSION DE SURVEILLANCE SIÉGEANT EN SECTION : Rejette dans la mesure de sa recevabilité la plainte A/1588/2004 formée le 26 juillet 2004 par la Caisse de prévoyance du bâtiment, de la gypserie et de la peinture et la Caisse de prévoyance du personnel des établissements publics médicaux du Canton de Genève dans le cadre de la faillite n° 2003xxxx10 P d’I______SA. Siégeant : M. Raphaël MARTIN, président ; M. Denis MATHEY, juge assesseur, et Mme Valérie CARERA, juge assesseure suppléante. .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