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A/1586/2020 vom 15. Dezember 2021</w:t>
      </w:r>
    </w:p>
    <w:p>
      <w:r>
        <w:t>GE Cour de justice, 2021-12-15, FR</w:t>
      </w:r>
    </w:p>
    <w:p>
      <w:r>
        <w:rPr>
          <w:b/>
        </w:rPr>
        <w:t xml:space="preserve">Quelle: </w:t>
      </w:r>
      <w:r>
        <w:t>https://mcp.opencaselaw.ch/entscheid/ge_gerichte_A_1586_2020</w:t>
      </w:r>
    </w:p>
    <w:p>
      <w:r>
        <w:t>FR: GE_GERICHTE A/1586/2020 du 15 décembre 2021</w:t>
      </w:r>
    </w:p>
    <w:p>
      <w:r>
        <w:t>IT: GE_GERICHTE A/1586/2020 del 15 dicembre 2021</w:t>
      </w:r>
    </w:p>
    <w:p>
      <w:pPr>
        <w:pStyle w:val="Heading2"/>
      </w:pPr>
      <w:r>
        <w:t>Erwägungen</w:t>
      </w:r>
    </w:p>
    <w:p>
      <w:r>
        <w:rPr>
          <w:b/>
        </w:rPr>
        <w:t>E. 4</w:t>
      </w:r>
    </w:p>
    <w:p>
      <w:r>
        <w:t>Sur le plan matériel, sont en principe applicables les règles de droit en vigueur au moment où les faits juridiquement déterminants se sont produits (ATF 129 V 1 , consid. 1.2; ATF 127 V 466 , consid. 1 et les références citées). En l'occurrence, vu que la période litigieuse débute le 1 er mars 2019, c'est la LPC dans sa teneur en vigueur jusqu’au 31 décembre 2020 qui est applicable et qui sera citée ci-après.</w:t>
      </w:r>
    </w:p>
    <w:p>
      <w:r>
        <w:rPr>
          <w:b/>
        </w:rPr>
        <w:t>E. 5.1</w:t>
      </w:r>
    </w:p>
    <w:p>
      <w:r>
        <w:t>Selon l’art. 11 al. 1 LPC, les revenus déterminants comprennent notamment, un quinzième de la fortune nette, un dixième pour les bénéficiaires de rentes de vieillesse, dans la mesure où elle dépasse CHF 37'500.- dès le 1er janvier 2011 ; les rentes, pensions et autres prestations périodiques, y compris les rentes de l’AVS et de l’AI (let. d) ; les ressources et parts de fortune dont un ayant droit s’est dessaisi (let. g).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La personne assurée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w:t>
      </w:r>
    </w:p>
    <w:p>
      <w:r>
        <w:rPr>
          <w:b/>
        </w:rPr>
        <w:t>E. 5.2</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6</w:t>
      </w:r>
    </w:p>
    <w:p>
      <w:r>
        <w:t>En l’espèce, il y a lieu de relever que l’intimé a tenu compte d’un dessaisissement non pas parce que la recourante aurait dépensé à tort ou de manière excessive le montant de sa fortune, mais parce qu’elle n’a pas pu justifier toutes ses dépenses. S’agissant du loyer important de la recourante, l’intimé n’en a pas tenu compte dans le dessaisissement, dès lors qu’il a pu être établi que la recourante avait bien payé son loyer mensuellement. Le dessaisissement pris en compte ne concerne que les années 2014, 2015 et 2018, selon le tableau de diminution de l’épargne établi par l’intimé. Ce tableau a été établi conformément aux pièces figurant au dossier, au moment jour où il a été fait et n’appelle pas la critique au vu des explications données par le représentant de l’intimé à l’audience devant la chambre de céans. Ce dernier a toutefois précisé que les pièces bancaires attestant des débits pouvaient suffire à attester des dépenses si l'on comprenait à quoi l'argent a été affecté, par exemple garage, vacances. Or, en l’occurrence, la recourante a produit, certes tardivement, des relevés détaillés de son compte bancaire pour les années 2014, 2015 et 2018, qui attestent de dépenses identifiables, telles que des frais de restaurants, d’habits, de livres, d’alimentation qui n’ont pas été pris en compte par l’intimé. Dès lors que les comptes produits concernent la période de 2014 à 2018, il y a lieu d’en tenir compte quand bien même l’intimé n’en avait pas connaissance au moment où il a pris la décision sur opposition querellée et que ces montants sont susceptibles de réduire le montant du dessaisissement retenu. Il se justifie en conséquence d’annuler la décision sur opposition et de renvoyer la cause à l’intimé pour nouveau calcul du dessaisissement et nouvelle décision.</w:t>
      </w:r>
    </w:p>
    <w:p>
      <w:r>
        <w:rPr>
          <w:b/>
        </w:rPr>
        <w:t>E. 6.1</w:t>
      </w:r>
    </w:p>
    <w:p>
      <w:r>
        <w:t>Au vu de ce qui précède, le recours est partiellement admis. La recourante obtenant partiellement gain de cause et étant assistée d’un mandataire,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