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A/1579/2024 vom 29. November 2024</w:t>
      </w:r>
    </w:p>
    <w:p>
      <w:r>
        <w:t>GE Cour de justice, 2024-11-29, FR</w:t>
      </w:r>
    </w:p>
    <w:p>
      <w:r>
        <w:rPr>
          <w:b/>
        </w:rPr>
        <w:t xml:space="preserve">Quelle: </w:t>
      </w:r>
      <w:r>
        <w:t>https://mcp.opencaselaw.ch/entscheid/ge_gerichte_A_1579_2024</w:t>
      </w:r>
    </w:p>
    <w:p>
      <w:r>
        <w:t>FR: GE_GERICHTE A/1579/2024 du 29 novembre 2024</w:t>
      </w:r>
    </w:p>
    <w:p>
      <w:r>
        <w:t>IT: GE_GERICHTE A/1579/2024 del 29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la quotité de la rente d'invalidité octroyée à la recourante à partir du 1 er janvier 2023, le droit à une pleine rente d'invalidité du 1 er mars 2020 au 31 décembre 2022 n'étant pas contesté.</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lorsque, comme en l'espèce, 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8C_435/2023 du 27 mai 2024 consid. 4.2 et les références, destiné à la publication). En l'occurrence, dans la mesure où la recourante a été reconnue totalement invalide jusqu'au 31 décembre 2022 et où seul est litigieux le droit à la rente dès le 1 er janvier 2023, les dispositions légales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Aux termes de l'art. 88 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 a LAI, les services médicaux régionaux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[Office fédéral des assurances sociales, Dispositions d’exécution relatives à la modification de la loi fédérale sur l’assurance-invalidité (Développement continu de l’AI), rapport explicatif (après la procédure de consultation) du 3 novembre 2021, ad art. 49 al. 1 bis , p. 60].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Il appartient avant tout aux médecins, et non aux spécialistes de l'orientation professionnelle, de se prononcer sur la capacité de travail d'un assuré souffrant d'une atteinte à la santé et sur les éventuelles limitations résultant de celle-ci. Cependant, les organes d'observation professionnelle ont pour fonction de compléter les données médicales en examinant concrètement dans quelle mesure l'assuré est à même de mettre en valeur une capacité de travail et de gain sur le marché du travail. Au regard de la collaboration, étroite, réciproque et complémentaire entre les médecins et les organes d'observation professionnelle, on ne saurait toutefois dénier toute valeur aux renseignements d'ordre professionnel recueillis à l'occasion d'un stage pratique pour apprécier la capacité résiduelle de travail de l'assuré.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du Tribunal fédéral 8C_43/2024 du 9 août 2024 consid. 5.2 et les références).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Il appartient en premier lieu à l'assureur de procéder à des instructions complémentaires pour établir d'office l'ensemble des faits déterminants, et, le cas échéant, d'administrer les preuves nécessaires avant de rendre sa décision (art. 43 al. 1 LPGA ; arrêt du Tribunal fédéral 8C_43/2024 du 9 août 2024 consid. 5.5 et les références).</w:t>
      </w:r>
    </w:p>
    <w:p>
      <w:r>
        <w:rPr>
          <w:b/>
        </w:rPr>
        <w:t>E. 3.4</w:t>
      </w:r>
    </w:p>
    <w:p>
      <w:r>
        <w:t>En l'espèce, l'intimé a fondé sa décision sur le rapport rendu par le SMR le 18 novembre 2022, aux termes duquel la recourante est totalement incapable de travailler dans son activité habituelle depuis mars 2019, mais peut exercer une activité adaptée à ses limitations fonctionnelles dès octobre 2022, à un taux de 50%. Cet avis, au moment où il a été établi, concordait avec les prises de position des médecins traitants de la recourante, en particulier avec le rapport du Dr J______ du 13 octobre 2022, qui jugeait qu'elle était apte à travailler à 50% dans toute profession, au vu des suites de son cancer (asthénie et paresthésies). Le SMR a alors aussi tenu compte des limitations fonctionnelles mentionnées par le Dr G______ en raison de l'atteinte au rachis lombaire, étant relevé que ce dernier n'a pas attesté d'une incapacité de travail de la recourante à ce titre, ni délivré de certificats d'arrêt de travail. Sous l'angle immunologique, le Dr H______ a en outre indiqué que le VIH était bien contrôlé et n'a fait état d'aucune limitation fonctionnelle en découlant. Cela étant, au moment où il a rendu la décision litigieuse, l'intimé ne pouvait plus faire reposer son appréciation sur le seul rapport du SMR du 18 novembre 2022, rendu plus d'une année auparavant. En effet, dans l'intervalle, la recourante avait débuté une mesure d'orientation professionnelle à 50%, qui avait rapidement dû être arrêtée au vu des difficultés rencontrées. Le bilan de la mesure relève des douleurs aiguës au niveau du dos, une grande fragilité émotionnelle et une fatigabilité soutenue, malgré un poste de travail adapté aux limitations fonctionnelles (tables et chaises réglables selon la hauteur de préférence), les changements de position et les étirements mis en place. Le rendement en temps de la recourante était par ailleurs peu élevé, tant dans les activités manuelles qu'administratives (moins de 20%) et les douleurs, la fatigue intense ainsi que la crainte de bien faire l'amenaient à commettre des erreurs d'inattention et affectaient sa concentration. La recourante avait de plus besoin d'un soutien et d'un renforcement constant pour commencer et mener à bien ses tâches. Face à l'échec de la mesure d'orientation et aux éléments présentés dans le bilan, l'intimé ne pouvait statuer sans compléter l'instruction médicale. Il a pourtant rapidement clôturé le mandat de mesures d'ordre professionnel et rendu un projet de décision, en reprenant l'exigibilité médicale attestée préalablement par le SMR. Par ailleurs, après le projet de décision, la recourante a transmis deux certificats d'arrêt de travail à 100% couvrant le mois de novembre 2023. Bien que ceux-ci aient été produits après l'échéance de 30 jours pour faire valoir des observations à la suite du préavis ( cf . art. 57 a al. 3 LAI), ils devaient néanmoins être pris en considération par l'intimé en tant qu'ils pouvaient influer sur la décision à rendre ( cf . ch. 6021 de la circulaire sur la procédure dans l'assurance-invalidité, état au 1 er février 2023). Au vu des informations contenues au dossier avant le 9 avril 2024, singulièrement des constatations tirées de l'observation professionnelle – lesquelles divergeaient sensiblement de l'appréciation médicale et faisaient apparaître des limitations plus étendues que celles retenues par le SMR ainsi qu'un rendement très bas – l'intimé devait compléter l'instruction, à tout le moins confronter ces deux évaluations. Un complément d'instruction paraît en l'occurrence d'autant plus nécessaire que le Dr E______, dans son dernier rapport du 1 er mai 2024, réaffirme non seulement que la recourante est affectée d'une asthénie de fond, mais fait aussi état de limitations découlant du cancer du sein qui n'étaient pas relevées dans ses précédentes évaluations. Il mentionne en effet une fatigabilité cognitive de la recourante en raison du phénomène de chemo brain , ainsi qu'une limitation dans tous les plans moteurs de son membre supérieur gauche au vu du status post chirurgie et de la radiothérapie. Or, des difficultés de concentration semblaient déjà s'être manifestées lors de la mesure d'orientation professionnelle et, de manière plus générale, la fatigue découlant d'un cancer ( Cancer-related Fatigue ) est admise par la littérature médicale et la jurisprudence (ATF 139 V 346 consid. 3). Bien que postérieur à la date de la décision entreprise, son rapport médical, qui conclut à une incapacité totale de travail de la recourante, doit ainsi être pris en considération, puisqu'il se prononce sur une situation médicale antérieure, découlant directement des suites du traitement du cancer (ATF 99 V 98 consid. 4 et les arrêts cités ; arrêt du Tribunal fédéral 9C_269/2018 du 25 juillet 2018 consid. 4.2). Dans le cas d'espèce, le SMR ne s'est pas prononcé sur le résultat de la mesure d'orientation professionnelle. Il ne s’est pas davantage déterminé sur le rapport médical du Dr E______ du 1 er mai 2024 produit devant la chambre de céans. Or, l’absence de prise en compte par l’OAI du résultat de la mesure d’orientation professionnelle constitue une violation de la maxime inquisitoire au sens de l'art. 43 LPGA et contrevient aux art. 54 a LAI et 49 al. 1 bis RAI, qui prescrivent que le SMR doit évaluer les capacités fonctionnelles de la personne assurée en tenant compte, tant quantitativement que qualitativement, de toutes ses ressources et limitations physiques, mentales et psychiques. Au vu des quelques jours d'orientation professionnelle réalisés, un doute raisonnable existe quant à l'étendue des limitations fonctionnelles de la recourante et au rendement qu'elle peut atteindre dans une activité adaptée, pour autant qu'elle dispose encore d'une capacité de travail exploitable. La cause doit ainsi être renvoyée à l'intimé afin qu'il sollicite une prise de position du SMR quant au bilan professionnel et au rapport médical du Dr E______ du 1 er mai 2024. Dans l'hypothèse où le SMR ne partagerait pas les conclusions de l'oncologue traitant concernant l'incapacité totale de travail de la recourante, l'intimé devrait mettre en œuvre une expertise médicale afin de clarifier la situation, tant sous l'angle des suites du cancer que sous l'angle des limitations liées à l'atteinte au rachis, en vue de déterminer précisément les limitations fonctionnelles et la capacité de travail de la recourante ainsi qu'une éventuelle diminution de rendement.</w:t>
      </w:r>
    </w:p>
    <w:p>
      <w:r>
        <w:rPr>
          <w:b/>
        </w:rPr>
        <w:t>E. 4</w:t>
      </w:r>
    </w:p>
    <w:p>
      <w:r>
        <w:t>Au vu de ce qui précède, le recours est partiellement admis et la décision du 9 avril 2024 est annulée en ce qu'elle concerne la rente d'invalidité dès le 1 er janvier 2023. La cause est renvoyée à l'intimé pour instruction complémentaire au sens des considérants et nouvelle décision sur le droit aux prestations dès cette date.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