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A/1576/2003 vom 15. Juni 2004</w:t>
      </w:r>
    </w:p>
    <w:p>
      <w:r>
        <w:t>GE Cour de justice, 2004-06-15, FR</w:t>
      </w:r>
    </w:p>
    <w:p>
      <w:r>
        <w:rPr>
          <w:b/>
        </w:rPr>
        <w:t xml:space="preserve">Quelle: </w:t>
      </w:r>
      <w:r>
        <w:t>https://mcp.opencaselaw.ch/entscheid/ge_gerichte_A_1576_2003</w:t>
      </w:r>
    </w:p>
    <w:p>
      <w:r>
        <w:t>FR: GE_GERICHTE A/1576/2003 du 15 juin 2004</w:t>
      </w:r>
    </w:p>
    <w:p>
      <w:r>
        <w:t>IT: GE_GERICHTE A/1576/2003 del 15 giugno 2004</w:t>
      </w:r>
    </w:p>
    <w:p>
      <w:pPr>
        <w:pStyle w:val="Heading2"/>
      </w:pPr>
      <w:r>
        <w:t>Erwägungen</w:t>
      </w:r>
    </w:p>
    <w:p>
      <w:r>
        <w:rPr>
          <w:b/>
        </w:rPr>
        <w:t>E. 2</w:t>
      </w:r>
    </w:p>
    <w:p>
      <w:r>
        <w:t>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d’AVS-AI (cf. article 56 V LOJ). Sa compétence pour juger du cas d’espèce est ainsi établie.</w:t>
      </w:r>
    </w:p>
    <w:p>
      <w:r>
        <w:rPr>
          <w:b/>
        </w:rPr>
        <w:t>E. 3</w:t>
      </w:r>
    </w:p>
    <w:p>
      <w:r>
        <w:t>La loi fédérale sur la partie générale du droit des assurances sociales du 6 octobre 2000 (LPGA) est entrée en vigueur le 1 er janvier 2003 entraînant la modification de nombreuses dispositions légales dans le domaine de l’AVS-AI. Elle est applicable au cas d’espèce, la décision litigieuse datant du 25 mars 2003.</w:t>
      </w:r>
    </w:p>
    <w:p>
      <w:r>
        <w:rPr>
          <w:b/>
        </w:rPr>
        <w:t>E. 4</w:t>
      </w:r>
    </w:p>
    <w:p>
      <w:r>
        <w:t>L’art. 4 al. 1 LAI définit l’invalidité comme étant la diminution de la capacité de gain, présumée permanente ou de longue durée, qui résulte d’une atteinte à la santé physique, ou mentale provenant d’une infirmité congénitale, d’une maladie ou d’un accident. Le droit à la rente est déterminé par l’art. 28 al. 1 LAI, selon lequel l’assuré a droit à une rente entière s’il présente un degré d’invalidité de 66 2/3% au moins, à une demi-rente si le degré est de 50% au moins et à un quart de rente si le degré est de 40% au moins.</w:t>
      </w:r>
    </w:p>
    <w:p>
      <w:r>
        <w:rPr>
          <w:b/>
        </w:rPr>
        <w:t>E. 5</w:t>
      </w:r>
    </w:p>
    <w:p>
      <w:r>
        <w:t>En l’espèce, au regard de l’ensemble des pièces médicales figurant au dossier, il apparaît que la recourante ne souffre pas d’une atteinte à la santé physique, de nature à entraîner, à elle seule, une diminution de la capacité de gain présumée permanente ou de longue durée. En revanche, les experts du COMAI ont posé le diagnostic de trouble somatoforme douloureux. Il y a dès lors lieu de déterminer si ce trouble est suffisamment invalidant pour justifier l’octroi d’une rente. Parmi les atteintes à la santé psychique, qui peuvent, comme les atteintes physiques, provoquer une invalidité au sens de l’art. 4 al. LAI, il faut mentionner – outre les affections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 la mesure de ce qui est exigible doit être déterminée aussi objectivement que possible. Il convient donc de déterminer si et dans quelle mesure un assuré peut, malgré l’atteinte à sa santé mentale, exercer une activité que lui offre, compte tenu de ses aptitudes, un marché du travail équilibré.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qu’on ne saurait exiger de lui, pour des raisons sociales et pratiques, qu’il mette à profit sa capacité de travail ou – condition alternative – qu’une telle exigence serait insupportable pour la société (ATF 102 V 165 ; VSI 2001 consid. 2b, p. 224s. ; VSI 2000 consid. 2a, p. 153 ; VSI 1996, p. 318 consid. 2a, p. 321 consid. 1a, p. 424 consid. 1a ; RCC 1992, p. 182 consid. 2a et les références). Selon la jurisprudence, des troubles somatoformes douloureux peuvent, dans certaines circonstances, provoquer une incapacité de travail (ATF 120 V 119 consid. 2c/cc ; RSAS 1997 p. 75; RAMA 1996 N°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Se fondant sur la doctrine médicale récente, MOSIMANN a décrit en détail la tâche de l’expert médical, lorsque celui-ci doit se prononcer sur le caractère invalidant de troubles somatoformes. Selon cet auteur, sur le plan psychiatrique, l’expert doit poser un diagnostic dans le cadre d’une classification reconnue et se prononcer sur le degré de gravité de l’afffection.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(ATFA du 19 janvier 2000 en la cause K. réf. I 554/98, consid. 2c).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(Hans-Jakob MOSIMANN, Somatoforme Störungen, Gerichte und (psychiatrische) Gutachten, in : Revue suisse des assurances sociales et de la prévoyance professionnelle (RSAS) 1999, p. 1ss et p. 105ss ; VSI 2000 p. 155 consid. 2c). Plus l’expert constate de facteurs limitatifs de la capacité de travail de l’assuré au plan psychique, plus il y a lieu de se montrer exigeant quant à la motivation qui doit figurer dans le rapport d’expertise sur l’existence et l’intensité des divers critères jurisprudentiels en matière de troubles somatoforme douloureux susceptibles de fonder un pronostic défavorable en ce qui concerne l’exigibilité d’une reprise d’activité professionnelle (ATFA non publié du 8 août 2002 en la cause I 787/01 consid. 3b in fine). Le Tribunal fédéral des assurances a encore souligné qu’il est erroné de prétendre que seuls des troubles somatoformes douloureux liés à une comorbidité psychiatrique grave seraient susceptibles d'entraîner une invalidité au sens de la LAI. Une telle comorbidité constitue tout au plus l'un des critères, certes important, à prendre en considération dans le cadre d'une évaluation globale de la situation médicale (ATFA non publié du 6 mai 2002 en la cause I 275/01 et ATFA non publié du 8 août 2002 en la cause I 783/01).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(ATFA non publié I 554/98 du 19 janvier 2000 ; ATF 118 V 290 consid. 1b, 112 V 32 ss et les réf. citées).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En ce qui concerne la valeur probante d’un rapport médical, ce qui est déterminant c’est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soit claire et enfin que les conclusions de l’expert soient bien motivées (ATF 122 V 160 consid. 1c et réf. ; ATFA non publié du 19 janvier 2000). A ce titre,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Schweizeriches Versicherungszeitschrift, 67/1999, p. 37ss).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567ss. ; ATFA non publié I 554/98 du 19 janvier 2000). A partir du moment où il est établi qu’il y a atteinte psychique ayant valeur de maladie, il est décisif de savoir si et dans quelle mesure l’assuré peut, malgré son infirmité mentale, mettre à profit sa capacité de travail et de gain en exerçant l’activité qui peut raisonnablement être exigé dans son cas (ATFA non publié I 3767/02 du 28 mars 2003 consid. 3.1 ; ATF 102 V 165 ; VSI 2001 p. 224 consid. 2b ; Plaidoyer 2002 N° 4 p. 64, consid. 2b). Si les avis des experts ne reposent que sur des hypothèses (le fait que l’environnement change, qu’elle ait un entourage affectif de meilleure qualité, etc.), et non sur des constatations objectives, sans que les médecins ne se prononcent concrètement sur une diminution de la capacité de travail en raison de problèmes d’ordre psychique leur avis ne peut emporter la conviction.</w:t>
      </w:r>
    </w:p>
    <w:p>
      <w:r>
        <w:rPr>
          <w:b/>
        </w:rPr>
        <w:t>E. 6</w:t>
      </w:r>
    </w:p>
    <w:p>
      <w:r>
        <w:t>En l’espèce, la recourante ne présente plus d’état dépressif, mais une personnalité à traits paranoïaques, raison pour laquelle le Docteur G__________ a fixé à 75% son incapacité de travail. Un état dépressif moyen à sévère, et non pas moyen comme l’a rapporté le Docteur F__________ du SMR Léman, a été constaté en mars 1999 lors de l’hospitalisation de l’assurée en rhumatologie, à telle enseigne qu’une prise en charge psychiatrique avait été recommandée. La recourante n’a cependant consulté la Doctesse C__________ en mai 1999 qu’à deux reprises. Cet état dépresssif ayant été provoqué par des événements précis, décrits dans le rapport psychiatrique du 9 mars 1999 ne saurait certes être déterminant à lui seul pour justifier l’octroi de prestations AI, il constitue cependant un élément important à prendre en considération. Le Docteur F__________ du SMR Léman s’est écarté des conclusions du COMAI au motif que le trouble somatoforme douloureux n’était pas accompagné d’une comorbidité psychiatrique grave. Il ajoute à cet égard que le trouble de la personnalité à traits paranoïaques est présent depuis longtemps et n’a jamais entraîné d’incapacité de travail jusqu’à l’épisode actuel. Le Docteur F__________ oublie de préciser que ce trouble du caratère a été qualifié de chronique et rigide. L’amélioration de l’état dépressif relevé par le Docteur F__________ n’aurait guère d’impact sur la symptomatologie douloureuse selon les experts du COMAI. Il convient de rappeler que le COMAI s’était déjà éloigné de l’évaluation du Docteur G__________ en estimant d’un point de vue global l’incapacité de travail à 60%. Le Tribunal de céans constate qu’en fixant ce taux de 60%, le COMAI a tenu compte à la fois de l’existence de ressources et des facteurs de pronostics défavorables. Il y a enfin lieu de relever que les conclusions des experts sont claires, bien motivées et complètes. Il n’y a dès lors pas de motif de s’en écarter. L’incapacité de travail de la recourante doit ainsi être fixée à 60%. Il reste à rappeler qu’elle exerçait depuis de nombreuses années son activité lucrative à 50% à compter du 1 er avril 1990.</w:t>
      </w:r>
    </w:p>
    <w:p>
      <w:r>
        <w:rPr>
          <w:b/>
        </w:rPr>
        <w:t>E. 7</w:t>
      </w:r>
    </w:p>
    <w:p>
      <w:r>
        <w:t>Aux termes de l’art. 28 al. 2 ter LAI, le revenu du travail que l’invalide pourrait obtenir en exerçant l’activité qu’on peut raisonnablement attendre de lui, après exécution éventuelle de mesures de réadapation et compte tenu d’une situation équilibrée du marché du travail, est comparé au revenu qu’il aurait pu obtenir s’il n’était pas invalide. On appliquera la méthode générale de comparaison des revenus pour l’évaluation de l’invalidité dans le domaine de l’activité lucrative et la méthode spécifique de comparaison des champs d’activité pour l’évaluation de l’invalidité dans le domaine de l’activité ménagère. L’invalidité totale de la personne assurée résultera de l’addition des taux d’invalidité pondérés dans les deux domaines (RCC 1979, p. 276). La part de l’ensemble des tâches de l’activité lucrative s’obtient en comparant la durée de travail que la personne handicapée accomplirait sans invalidité avec la durée de travail total usuelle dans la profession concernée. La différence constitue la part du travail ménager. On ne peut pas tenir compte de la durée effective du travail ménager et professionnel (RCC 1992, p. 134 ; 1980 p. 564).</w:t>
      </w:r>
    </w:p>
    <w:p>
      <w:r>
        <w:rPr>
          <w:b/>
        </w:rPr>
        <w:t>E. 8</w:t>
      </w:r>
    </w:p>
    <w:p>
      <w:r>
        <w:t>L’OCAI ayant considéré que les conditions de l’art. 4 LAI (8 LPGA) n’étaient pas réalisées, il n’a pas procédé à une enquête ménagère. La cause lui sera dès lors renvoyée afin qu’une telle enquête soit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