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A/1564/2015 vom 13. Dezember 2016</w:t>
      </w:r>
    </w:p>
    <w:p>
      <w:r>
        <w:t>GE Cour de justice, 2016-12-13, FR</w:t>
      </w:r>
    </w:p>
    <w:p>
      <w:r>
        <w:rPr>
          <w:b/>
        </w:rPr>
        <w:t xml:space="preserve">Quelle: </w:t>
      </w:r>
      <w:r>
        <w:t>https://mcp.opencaselaw.ch/entscheid/ge_gerichte_A_1564_2015</w:t>
      </w:r>
    </w:p>
    <w:p>
      <w:r>
        <w:t>FR: GE_GERICHTE A/1564/2015 du 13 décembre 2016</w:t>
      </w:r>
    </w:p>
    <w:p>
      <w:r>
        <w:t>IT: GE_GERICHTE A/1564/2015 del 13 dicembre 2016</w:t>
      </w:r>
    </w:p>
    <w:p>
      <w:pPr>
        <w:pStyle w:val="Heading2"/>
      </w:pPr>
      <w:r>
        <w:t>Regeste</w:t>
      </w:r>
    </w:p>
    <w:p>
      <w:r>
        <w:t>DROIT D'ÊTRE ENTENDU ; POUVOIR D'EXAMEN ; VENTE ; AUTORISATION OU APPROBATION(EN GÉNÉRAL) ; PESÉE DES INTÉRÊTS ; INTÉRÊT PUBLIC ; LOGEMENT ; MARCHÉ LOCATIF | Le département a maîtrisé les potentielles conséquences de la vente, en assortissant l'autorisation délivrée de conditions et a procédé à une juste pesée des intérêts en présence. Dès lors que le maintien dans le parc immobilier locatif était assuré, aucun motif ne justifiait une restriction à la liberté du propriétaire de disposer de ses biens, étant rappelé, conformément à la jurisprudence précitée, qu'une telle limitation ne doit pas entraîner une atteinte plus grave que ne l'exige le but d'intérêt public recherché. | LDTR.2 ; LDTR.39.al2 ; LDTR.39.al4 ; RDTR.11.al1 ; RDTR.13.al1 ; RDTR.13.al3</w:t>
      </w:r>
    </w:p>
    <w:p>
      <w:pPr>
        <w:pStyle w:val="Heading2"/>
      </w:pPr>
      <w:r>
        <w:t>Erwägungen</w:t>
      </w:r>
    </w:p>
    <w:p>
      <w:r>
        <w:rPr>
          <w:b/>
        </w:rPr>
        <w:t>E. 9</w:t>
      </w:r>
    </w:p>
    <w:p>
      <w:r>
        <w:t>avril 2013 ; ATA/784/2012 du 20 novembre 2012 et les références citées),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ATA/701/2016 du 23 août 2016 ; ATA/80/2014 précité consid. 8 ; ATA/215/2013 du 9 avril 2013 consid. 7). d. À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et 1C_143/2011 du 14 juillet 2011). 6) a. La politique prévue par la LDTR procède d'un intérêt public important (arrêt du Tribunal fédéral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 b. Les intérêts qui s'opposent en l'espèce sont, d'une part, les intérêts privés des sociétés à la vente et l'achat de l'appartement et, d'autre part, l'intérêt public à la protection du parc locatif genevois. 7) Le département a procédé à une pesée des intérêts admissible. Celle effectuée par le TAPI n'apparaît pas suffisante pour la renverser. En effet, le département a délivré l'autorisation sur la base de l'art. 39 al. 2 LDTR en tenant compte des intérêts en présence et du principe de proportionnalité. L'engagement de l'acquéreur de maintenir et respecter les contrats de bail existants devrait pallier le risque de voir l'appartement soustrait au parc locatif. La chambre de céans partage cette analyse, ce d'autant plus que le prix de la transaction apparaît raisonnable et ne devrait pas pouvoir justifier une augmentation du prix des loyers. L'intérêt public au maintien des logements destinés à la location n'est ainsi pas menacé par la vente des deux lots en PPE. Le département s'est également assuré que cette aliénation ne puisse être utilisée dans le futur pour détourner le but de la LDTR. Il a en effet assorti l'autorisation d'une condition, soit qu'elle « ne saurait être invoquée ultérieurement pour justifier une aliénation individualisée de deux appartements en application de l'art. 39 al. 4 let. d LDTR », lequel prévoit que la vente d'un appartement qui a déjà fait l'objet une fois au moins d'une autorisation d'aliéner en vertu de la LDTR doit être autorisée. Le département a maîtrisé les potentielles conséquences de cette vente, en assortissant l'autorisation délivrée de conditions et a procédé à une juste pesée des intérêts en présence. Dès lors que le maintien dans le parc immobilier locatif était assuré, aucun motif ne justifiait une restriction à la liberté du propriétaire de disposer de ses biens, étant rappelé, conformément à la jurisprudence précitée, qu'une telle limitation ne doit pas entraîner une atteinte plus grave que ne l'exige le but d'intérêt public recherché. La décision du département est ainsi conforme au droit. 8) Le grief relatif à la violation du droit d'être entendu pourra souffrir de rester ouvert. En effet, le but des mesures d'instruction sollicitées était de déterminer si les conditions de l'art. 39 al. 4 LDTR étaient réalisées. Or, les recourantes ne concluent qu'à titre subsidiaire à ce que l'autorisation leur soit délivrée en vertu de cette disposition, mais principalement à la confirmation de l'arrêté du 23 mars 2015. 9) Ce qui précède conduit à l'admission du recours. Partant, le jugement du TAPI qui annule l'arrêté du DALE du 23 mars 2015 n'est pas conforme au droit. Il sera annulé et l'arrêté rétabli. 10) Vu l'issue du litige, un émolument de CHF 1'000.- sera mis à la charge de l'ASLOCA, qui succombe (art. 87 al. 1 LPA) et une indemnité de procédure de CHF 1'000.- sera allouée aux recourantes, prises conjointement et solidairement, à la charge de l'ASLOCA, dès lors qu'elles y ont conclu et qu'elles ont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