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A/1564/2002 vom 2. Juni 2004</w:t>
      </w:r>
    </w:p>
    <w:p>
      <w:r>
        <w:t>GE Cour de justice, 2004-06-02, FR</w:t>
      </w:r>
    </w:p>
    <w:p>
      <w:r>
        <w:rPr>
          <w:b/>
        </w:rPr>
        <w:t xml:space="preserve">Quelle: </w:t>
      </w:r>
      <w:r>
        <w:t>https://mcp.opencaselaw.ch/entscheid/ge_gerichte_A_1564_2002</w:t>
      </w:r>
    </w:p>
    <w:p>
      <w:r>
        <w:t>FR: GE_GERICHTE A/1564/2002 du 2 juin 2004</w:t>
      </w:r>
    </w:p>
    <w:p>
      <w:r>
        <w:t>IT: GE_GERICHTE A/1564/2002 del 2 giugno 2004</w:t>
      </w:r>
    </w:p>
    <w:p>
      <w:pPr>
        <w:pStyle w:val="Heading2"/>
      </w:pPr>
      <w:r>
        <w:t>Regeste</w:t>
      </w:r>
    </w:p>
    <w:p>
      <w:r>
        <w:t>AI(ASSURANCE); ÉVALUATION DE L'INVALIDITÉ; COMPARAISON DES REVENUS; REVENU HYPOTHÉTIQUE; REVENU D'INVALIDE; LIMITATION(EN GÉNÉRAL); ACTIVITÉ HYPOTHÉTIQUE ; RÉDUCTION(EN GÉNÉRAL) | LAI.28</w:t>
      </w:r>
    </w:p>
    <w:p>
      <w:pPr>
        <w:pStyle w:val="Heading2"/>
      </w:pPr>
      <w:r>
        <w:t>Erwägungen</w:t>
      </w:r>
    </w:p>
    <w:p>
      <w:r>
        <w:rPr>
          <w:b/>
        </w:rPr>
        <w:t>E. 2</w:t>
      </w:r>
    </w:p>
    <w:p>
      <w:r>
        <w:t>La loi genevoise sur l’organisation judiciaire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w:t>
      </w:r>
    </w:p>
    <w:p>
      <w:r>
        <w:rPr>
          <w:b/>
        </w:rPr>
        <w:t>E. 3</w:t>
      </w:r>
    </w:p>
    <w:p>
      <w:r>
        <w:t>La loi fédérale sur la partie générale du droit des assurances sociales du 6 octobre 2000 (LPGA : RS 830.1) est entrée en vigueur le 1er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postérieur à la date déterminante de la décision litigieuse (ATF 127 V 467 , consid. 1, 121 V 836 , consid. 1b ; cf. également dispositions transitoires, art. 82 al. 1 de la loi fédérale sur l'assurance-invalidité). Le présent litige sera par conséquent examiné à la lumière des dispositions de la loi sur l'assurance-invalidité (ci-après LAI) et de son règlement (ci-après RAI) en vigueur jusqu'au 31 décembre 2002.</w:t>
      </w:r>
    </w:p>
    <w:p>
      <w:r>
        <w:rPr>
          <w:b/>
        </w:rPr>
        <w:t>E. 4</w:t>
      </w:r>
    </w:p>
    <w:p>
      <w:r>
        <w:t>Interjetés dans les forme et délai légaux, les recours des 21 février, 26 mars, 18 juin, 10 juillet, 7 octobre, 15 novembre, et 2 décembre 2002, enregistrés sous le même numéro de cause A/1564/2002, sont recevables (art. 69 LAI et 84 de la loi sur l’assurance-vieillesse et survivants [LAVS]).</w:t>
      </w:r>
    </w:p>
    <w:p>
      <w:r>
        <w:rPr>
          <w:b/>
        </w:rPr>
        <w:t>E. 5</w:t>
      </w:r>
    </w:p>
    <w:p>
      <w:r>
        <w:t>Le présent litige porte sur le taux d’invalidité de l’assuré, tel que l’a établi l’OCAI sur la base des avis médicaux présents au dossier et des conclusions du rapport du COPAI du 19 novembre 2001. Il sied de relever que la question des indemnités journalières et des compensations effectuées en faveur de tiers sur les montants de la rente d’assurance-invalidité ne sont plus litigieuses. En effet, il y a lieu de considérer que le recourant a été informé de manière satisfaisante sur la compensation effectuée en faveur de l’OCPA, suivant sa requête en ce sens, et de relever qu’il n’a plus remis en question le versement des indemnités journalières dans ses écritures postérieures au 26 mars 2002, ni repris à aucun moment de conclusions dans ce sens. Aux termes de l’art. 4 al. 1 LAI, l’invalidité est la diminution de la capacité de gain, présumée permanente ou de longue durée, qui résulte d’une atteinte à la santé physique, ou mentale provenant d’une infirmité congénitale, d’une maladie ou d’un accident. Selon l'art. 4 al. 2 LAI, l'invalidité est réputée survenue dès qu'elle est, par sa nature et sa gravité, propre à ouvrir droit aux prestations entrant en considération. L’art. 28 al. 1 LAI prévoit que l'assuré a droit à une rente s'il est invalide à 40 pour cent au moins. La rente est d’un quart si l’assuré présente une invalidité de 40 pour cent, d’une demie pour une invalidité de 50 pour cent au moins et entière dès 66 2/3 % au moins d’invalidité.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Selon le chiffre 6007 de la Circulaire sur la procédure dans l’assurance-invalidité (ci-après CPAI) éditée par l’Office fédéral des assurances sociales (ci-après l’OFAS), appel est fait aux services du Centre d’observation professionnelle de l’assurance-invalidité (ci-après COPAI) dans des cas particuliers, pour l’examen pratique de la capacité de travail d’un assuré. L’examen effectué par le Centre d’observation professionnelle de l’assurance-invalidité (ci après :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Conformément au principe de la libre appréciation des preuves, l’administration ou le juge apprécie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w:t>
      </w:r>
    </w:p>
    <w:p>
      <w:r>
        <w:rPr>
          <w:b/>
        </w:rPr>
        <w:t>E. 6</w:t>
      </w:r>
    </w:p>
    <w:p>
      <w:r>
        <w:t>En l’espèce, s’agissant de l’évaluation de la capacité de travail résiduelle et de l’activité raisonnable exigible, le COPAI a estimé le 19 novembre 2001 que l’assuré pouvait effectuer une activité légère et pratique, en position assise avec la possibilité d’alterner les positions, sans port de charge, représentant une capacité de 56%, soit un rendement exigible de 75% sur six heures de travail (75% de 75%). A cet égard, il faut noter que le Dr E, a attesté le 8 novembre 2001 que la situation clinique de l’assuré (lombosciatalgies gauches, syndrome lombaire persistant, accompagné d’un signe de Lasègue positif et d’un déficit sensitif modéré du membre inférieur gauche) s’accordait aux conclusions du COPAI, selon lesquel la capacité de travail était réduite à 55 ou 60%. Au surplus, les conclusions du COPAI s’accordent également à celles du médecin traitant du recourant, le Dr D, qui relevait le 17 janvier 2000 que son patient était certainement en mesure de travailler manuellement en position assise à plein temps. Les conclusions du rapport du COPAI du 19 novembre 2001 doivent donc être suivies et la capacité résiduelle de travail du recourant fixée à 56%.</w:t>
      </w:r>
    </w:p>
    <w:p>
      <w:r>
        <w:rPr>
          <w:b/>
        </w:rPr>
        <w:t>E. 7</w:t>
      </w:r>
    </w:p>
    <w:p>
      <w:r>
        <w:t>Cela étant, il convient d'examiner dans quelle mesure le recourant subit une diminution de sa capacité de gain en exerçant une activité adaptée à l'atteinte à sa santé.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 28 al. 2 LAI, les gains déterminants au moment de la naissance du droit à une éventuelle rente, sous réserve de modifications significatives des données hypothétiques survenues jusqu'au moment où la décision est rendue (ATF 128 V 174 ; ATFA non publiés du 18 octobre 2002 en la cause I 761/01, ATFA non publié du 22 août 2002 en la cause I 440/01). Le revenu sans invalidité se détermine en général d’après le dernier salaire que l’assuré a obtenu avant l’atteinte à sa santé (RCC 1991 page 332 ). Pour chiffrer le revenu d’invalide, on peut se référer aux statistiques, selon la jurisprudence.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l’office fédéral des statistiques qui distinguent les salaires selon le niveau de qualification, le domaine d’activité et le sexe, constituent une source d’information fiable. On se référera alors à la statistique des salaires bruts standardisés, en se fondant toujours sur la médiane ou valeur centrale dans le secteur d’activité concerné (ATF 124 V 323 ,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(VSI 1998 p. 179, p. 296).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admis,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(ATFA non publié du 8 juillet 2003 I9/03). Dans un autre cas, le TFA a procédé à un abattement de 15% pour tenir compte en particulier de la nationalité étrangère du recourant et de l’empêchement à effectuer des travaux lourds ou de la nécessité d'alterner les positions assis/debout (ATFA non publié du 30 novembre 2001 I 422 /01). Dans un arrêt du 23 octobre 2000 (ATFA non publié en la cause I 177/00), le Tribunal fédéral a indiqué qu’il n’y avait pas lieu de retenir un abattement de 10 %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Par ailleurs,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Dans ce contexte, il s’agit aussi de prendre en considération le fait que les étrangers ne gagnent pas toujours le même salaire que la moyenne de tous les travailleurs étrangers et suisses (VSI 2000 p. 85).</w:t>
      </w:r>
    </w:p>
    <w:p>
      <w:r>
        <w:rPr>
          <w:b/>
        </w:rPr>
        <w:t>E. 8</w:t>
      </w:r>
    </w:p>
    <w:p>
      <w:r>
        <w:t>En l’espèce, en ce qui concerne le revenu sans invalidité, il aurait été en 1998 de 57'610 fr. par an, selon l’attestation du 22 mai 2002 fournie par fax par son précédent employeur, l’entreprise X, ce qui correspond avec exactitude aux cotisations AVS versées par l’assuré pour l’année 1998. Conformément à la Convention collective de travail des métiers du bâtiment (second œuvre), dans sa version en vigueur du 28 juin 2000 au 1 er janvier 2001, le recourant aurait perçu en 2000 un salaire horaire de 26 fr. 35, soit un salaire annuel de 61'999 fr. 50 (à raison de 41,8 heures par semaine, y compris un 13 ème salaire). Quant au salaire d’invalide, il convient de prendre en considération dans les statistiques les rubriques 15 à 37 relatives aux « industries manufacturières », dès lors qu’une activité d’ouvrier à l’établi, d’opérateur sur machine légère, d’ouvrier d’usine ou d’ouvrier dans le travail léger sur bois est retenue, et que le recourant est charpentier de profession (cf. L’enquête suisse sur la structure des salaires 2000, ESS 2000, TA1). Le salaire mensuel dans ce secteur était de 4’618 fr. par mois compte tenu d’un horaire de travail de 40 heures par semaine. Il doit être porté à 4’826 fr. (soit 4’618 fr. : 40 x 41,8), soit à 57’912 fr. par an, dès lors que la moyenne usuelle de travail dans les entreprises en 2000 était de 41,8 heures (La Vie Economique 12/2002 p. 88, tableau B 9.2). Pour une capacité résiduelle de travail de 56 %, le revenu dans le domaine retenu s’élève ainsi à 32’431 fr. Compte tenu de ce que les activités retenues doivent en principe pouvoir être exercées par le recourant, en dépit de ses limitations fonctionnelles, sans difficultés, un abattement maximal de 20 % se justifie, selon la jurisprudence précitée, en tenant compte de sa nationalité étrangère, de son âge (58 ans en 2000), et du fait qu’il ne peut travailler qu’à temps partiel dans une activité légère. Par conséquent, le salaire avec handicap déterminant s’élève à 25’944 fr. 80. Le taux d’invalidité ressortant de la comparaison de ces deux revenus est dès lors de 58,1 % (61’999 fr.50 – 25’944 fr 80. x 100 : 61’999 fr. 50). Ce taux n’ouvre le droit qu’à une demi-rente d’invalidité et non pas à une rente entière.</w:t>
      </w:r>
    </w:p>
    <w:p>
      <w:r>
        <w:rPr>
          <w:b/>
        </w:rPr>
        <w:t>E. 9</w:t>
      </w:r>
    </w:p>
    <w:p>
      <w:r>
        <w:t>Au vu de ce qui précède, le recours sera rejeté et la décision de l’OCAI du 23 janvier 2002 sera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