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A/1562/2024 vom 1. April 2025</w:t>
      </w:r>
    </w:p>
    <w:p>
      <w:r>
        <w:t>GE Cour de justice, 2025-04-01, FR</w:t>
      </w:r>
    </w:p>
    <w:p>
      <w:r>
        <w:rPr>
          <w:b/>
        </w:rPr>
        <w:t xml:space="preserve">Quelle: </w:t>
      </w:r>
      <w:r>
        <w:t>https://mcp.opencaselaw.ch/entscheid/ge_gerichte_A_1562_2024</w:t>
      </w:r>
    </w:p>
    <w:p>
      <w:r>
        <w:t>FR: GE_GERICHTE A/1562/2024 du 1 avril 2025</w:t>
      </w:r>
    </w:p>
    <w:p>
      <w:r>
        <w:t>IT: GE_GERICHTE A/1562/2024 del 1 aprile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2.1</w:t>
      </w:r>
    </w:p>
    <w:p>
      <w:r>
        <w:t>En l’espèce, l’objet du litige est le droit de la recourante à une rente d’invalidité dès le 1er septembre 2021.</w:t>
      </w:r>
    </w:p>
    <w:p>
      <w:r>
        <w:rPr>
          <w:b/>
        </w:rPr>
        <w:t>E. 3.1</w:t>
      </w:r>
    </w:p>
    <w:p>
      <w:r>
        <w:t>Aux termes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L'évaluation des syndromes sans pathogenèse ni étiologie claires et sans constat de déficit organique ne fait pas l'objet d'un consensus médical (arrêt du Tribunal fédéral 9C_619/2012 du 9 juillet 2013 consid. 4.1). La reconnaissance de l'existence de troubles somatoformes douloureux persistants suppose d'abord la présence d'un diagnostic émanant d'un expert (psychiatre) et s'appuyant lege artis sur les critères d'un système de classification reconnu (ATF 130 V 396 consid. 5.3). Les principes jurisprudentiels développés en matière de troubles somatoformes douloureux sont également applicables à la fibromyalgie (ATF 132 V 65 consid. 4.1) Dans un arrêt du 3 juin 2015 (ATF 141 V 281 ), le Tribunal fédéral a jugé que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 Lors de l'examen du droit à une rente d'invalidité en cas de troubles psychiques, il y a lieu d'examiner la capacité de travail et la capacité fonctionnelle de la personne concernée dans le cadre d'une procédure structurée d'administration des preuves à l'aide d'indicateurs (ATF 141 V 281 ; ATF 143 V 409 consid. 4.5 et ATF 143 V 418 consid. 6 et 7), car les maladies psychiques ne peuvent en principe être déterminées ou prouvées que de manière limitée sur la base de critères objectifs.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convient également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 Tribunal fédéral a développé dans sa jurisprudence relative à l’établissement de la capacité de travail exigible des personnes souffrant d’une symptomatologie douloureuse sans substrat organique les indicateurs suivants, qui s’appliquent également pour déterminer la capacité de travail exigible des personnes souffrant de troubles psychiques.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l'atteinte de celles dues à des facteurs non assurés.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Il faut examiner en 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 Le juge vérifie librement si l’expert médical a exclusivement tenu compte des déficits fonctionnels résultant de l’atteinte à la santé et si son évaluation de l’exigibilité repose sur une base objective.</w:t>
      </w:r>
    </w:p>
    <w:p>
      <w:r>
        <w:rPr>
          <w:b/>
        </w:rPr>
        <w:t>E. 3.2</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3.3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w:t>
      </w:r>
    </w:p>
    <w:p>
      <w:r>
        <w:rPr>
          <w:b/>
        </w:rPr>
        <w:t>E. 3.4</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w:t>
      </w:r>
    </w:p>
    <w:p>
      <w:r>
        <w:rPr>
          <w:b/>
        </w:rPr>
        <w:t>E. 4</w:t>
      </w:r>
    </w:p>
    <w:p>
      <w:r>
        <w:t>Diagnostics psychiatriques (selon un système de classification reconnu) Précisez quels critères de classification sont remplis et de quelle manière (notamment l’étiologie et la pathogenèse)</w:t>
      </w:r>
    </w:p>
    <w:p>
      <w:r>
        <w:rPr>
          <w:b/>
        </w:rPr>
        <w:t>E. 4.1</w:t>
      </w:r>
    </w:p>
    <w:p>
      <w:r>
        <w:t>Avec répercussion sur la capacité de travail 4.1.1            Dates d'apparition 4.2                  Sans répercussion sur la capacité de travail</w:t>
      </w:r>
    </w:p>
    <w:p>
      <w:r>
        <w:rPr>
          <w:b/>
        </w:rPr>
        <w:t>E. 4.2</w:t>
      </w:r>
    </w:p>
    <w:p>
      <w:r>
        <w:t>Le recourant estime que la désignation du Dr L______ n’est pas opportune, car celui-ci aurait, dans le passé, adopté des positions qui ne reflétaient pas toujours une stricte neutralité et qu’il avait fréquemment rendu des conclusions favorisant les assurances sociales. Les objections que peut soulever l'assuré à l'encontre de la personne de l'expert peuvent être de nature formelle ou matérielle; les motifs de récusation formels sont ceux prévus par la loi (cf. art. 36 al. 1 LPGA); d'autres motifs, tels que le manque de compétence dans le domaine médical retenu ou encore un manque d'adéquation personnelle de l'expert, sont de nature matérielle (ATF 132 V 93 consid. 6.5; arrêt 9C_180/2013 du 31 décembre 2013 consid. 2.3; JACQUES OLIVIER PIGUET, op. cit., n° 24 ad art. 44 LPGA). S'agissant des motifs de récusation formels d'un expert, il y a lieu selon la jurisprudence d'appliquer les mêmes principes que pour la récusation d'un juge (ATF 137 V 210 consid. 2.1.3; 132 V 93 consid. 7.1; 120 V 357 consid. 3a), qui découlent directement du droit constitutionnel à un tribunal indépendant et impartial garanti par l'art. 30 al. 1 Cst. - qui en la matière a la même portée que l'art. 6 par. 1 CEDH (ATF 134 I 20 consid. 4.2) - respectivement, pour un expert, des garanties générales de procédure de l'art. 29 al. 1 Cst., qui assure à cet égard une protection équivalente à celle de l'art. 30 al. 1 Cst. (arrêts 8C_452/2020 du 7 octobre 2021 consid. 2.3.1; 5A_484/2015 du 2 octobre 2015 consid. 2.3.2 et les références). Un expert passe ainsi pour prévenu lorsqu'il existe des circonstances propres à faire naître un doute sur son impartialité. Dans ce domaine, il s'agit toutefois d'un état intérieur dont la preuve est difficile à 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120 V 357 consid. 3a et les références). Compte tenu de l'importance considérable que revêtent les expertises médicales en droit des assurances sociales, il y a lieu de poser des exigences élevées à l'impartialité de l'expert médical (ATF 132 V 93 consid. 7.1 in fine; 120 V 357 consid. 3b in fine). Selon la jurisprudence, le fait qu'un expert, médecin indépendant, ou une institution d'expertises sont régulièrement mandatés par un organe de l'assurance sociale, le nombre d'expertises ou de rapports confiés à l'expert, ainsi que l'étendue des honoraires en résultant ne constituent pas à eux seuls des motifs suffisants pour conclure au manque d'objectivité et à la partialité de l'expert (ATF 137 V 210 consid. 1.3.3 et les références; arrêt 9C_343/2020 du 22 avril 2021 consid. 4.3; cf. aussi arrêt 8C_112/2010 du 17 août 2010 consid. 4.1). En l’espèce, la recourante se contente de mettre en cause l’impartialité de l’expert sans se prévaloir de faits concrets de nature à la remettre en cause, même légèrement, au vu de la jurisprudence précitée, de sorte que sa désignation sera confirmée. PAR CES MOTIFS, LA CHAMBRE DES ASSURANCES SOCIALES : Statuant préparatoirement 1.             Ordonne une expertise psychiatrique de A______. 2.             Commet à ces fins le docteur L______, spécialiste FMH en psychiatrie et psychothérapie. 3.             Dit que la mission d’expertise sera la suivante : A.           Prendre connaissance du dossier de la cause. B.            Si nécessaire, prendre tous renseignements auprès des médecins ayant traité la personne expertisée. C.            Examiner et entendre la personne expertisée et si nécessaire, ordonner d'autres examens. 4.             Charge l’expert d’établir un rapport détaillé comprenant les éléments suivants : 1. Anamnèse détaillée (avec la description d’une journée-type) ; 2. Plaintes et données subjectives de la personne expertisée ; 3. Status clinique et constatations objectives ;</w:t>
      </w:r>
    </w:p>
    <w:p>
      <w:r>
        <w:rPr>
          <w:b/>
        </w:rPr>
        <w:t>E. 4.2.1</w:t>
      </w:r>
    </w:p>
    <w:p>
      <w:r>
        <w:t>Dates d'apparition</w:t>
      </w:r>
    </w:p>
    <w:p>
      <w:r>
        <w:rPr>
          <w:b/>
        </w:rPr>
        <w:t>E. 4.3</w:t>
      </w:r>
    </w:p>
    <w:p>
      <w:r>
        <w:t>Quel est le degré de gravité de chacun des troubles diagnostiqués (faible, moyen, grave) ?</w:t>
      </w:r>
    </w:p>
    <w:p>
      <w:r>
        <w:rPr>
          <w:b/>
        </w:rPr>
        <w:t>E. 4.4</w:t>
      </w:r>
    </w:p>
    <w:p>
      <w:r>
        <w:t>L’état de santé de la personne expertisée s’est-il amélioré/détérioré depuis mai 2015 ?</w:t>
      </w:r>
    </w:p>
    <w:p>
      <w:r>
        <w:rPr>
          <w:b/>
        </w:rPr>
        <w:t>E. 4.5</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4.6</w:t>
      </w:r>
    </w:p>
    <w:p>
      <w:r>
        <w:t>Y a-t-il une discordance substantielle entre les douleurs décrites et le comportement observé ou l’anamnèse, l’allégation d'intenses douleurs dont les caractéristiques demeurent vagues, l’absence de demande de soins médicaux, des plaintes très démonstratives laissant insensible l'expert, l’allégation de lourds handicaps malgré un environnement psychosocial intact ?</w:t>
      </w:r>
    </w:p>
    <w:p>
      <w:r>
        <w:rPr>
          <w:b/>
        </w:rPr>
        <w:t>E. 4.7</w:t>
      </w:r>
    </w:p>
    <w:p>
      <w:r>
        <w:t>Dans l’affirmative, considérez-vous que cela suffise à exclure une atteinte à la santé significative ?</w:t>
      </w:r>
    </w:p>
    <w:p>
      <w:r>
        <w:rPr>
          <w:b/>
        </w:rPr>
        <w:t>E. 5</w:t>
      </w:r>
    </w:p>
    <w:p>
      <w:r>
        <w:t>Limitations fonctionnelles</w:t>
      </w:r>
    </w:p>
    <w:p>
      <w:r>
        <w:rPr>
          <w:b/>
        </w:rPr>
        <w:t>E. 5.1</w:t>
      </w:r>
    </w:p>
    <w:p>
      <w:r>
        <w:t>Indiquer les limitations fonctionnelles en relation avec chaque diagnostic ainsi que leurs dates d’apparition</w:t>
      </w:r>
    </w:p>
    <w:p>
      <w:r>
        <w:rPr>
          <w:b/>
        </w:rPr>
        <w:t>E. 5.2</w:t>
      </w:r>
    </w:p>
    <w:p>
      <w:r>
        <w:t>Les plaintes sont-elles objectivées ?</w:t>
      </w:r>
    </w:p>
    <w:p>
      <w:r>
        <w:rPr>
          <w:b/>
        </w:rPr>
        <w:t>E. 5.3</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w:t>
      </w:r>
    </w:p>
    <w:p>
      <w:r>
        <w:rPr>
          <w:b/>
        </w:rPr>
        <w:t>E. 5.4</w:t>
      </w:r>
    </w:p>
    <w:p>
      <w:r>
        <w:t>Les limitations du niveau d’activité sont-elles uniformes dans tous les domaines (professionnel mais aussi personnel) ? Quel est le niveau d’activité sociale et comment a-t-il évolué depuis la survenance de l’atteinte à la santé ?</w:t>
      </w:r>
    </w:p>
    <w:p>
      <w:r>
        <w:rPr>
          <w:b/>
        </w:rPr>
        <w:t>E. 6</w:t>
      </w:r>
    </w:p>
    <w:p>
      <w:r>
        <w:t>Cohérence</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w:t>
      </w:r>
    </w:p>
    <w:p>
      <w:r>
        <w:rPr>
          <w:b/>
        </w:rPr>
        <w:t>E. 7</w:t>
      </w:r>
    </w:p>
    <w:p>
      <w:r>
        <w:t>Personnalité</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w:t>
      </w:r>
    </w:p>
    <w:p>
      <w:r>
        <w:rPr>
          <w:b/>
        </w:rPr>
        <w:t>E. 8</w:t>
      </w:r>
    </w:p>
    <w:p>
      <w:r>
        <w:t>Ressources</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w:t>
      </w:r>
    </w:p>
    <w:p>
      <w:r>
        <w:rPr>
          <w:b/>
        </w:rPr>
        <w:t>E. 9</w:t>
      </w:r>
    </w:p>
    <w:p>
      <w:r>
        <w:t>Capacité de travail</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À quel taux ? Depuis quelle date ?</w:t>
      </w:r>
    </w:p>
    <w:p>
      <w:r>
        <w:rPr>
          <w:b/>
        </w:rPr>
        <w:t>E. 9.3.3</w:t>
      </w:r>
    </w:p>
    <w:p>
      <w:r>
        <w:t>Dire s’il y a une diminution de rendement et la chiffrer.</w:t>
      </w:r>
    </w:p>
    <w:p>
      <w:r>
        <w:rPr>
          <w:b/>
        </w:rPr>
        <w:t>E. 9.4</w:t>
      </w:r>
    </w:p>
    <w:p>
      <w:r>
        <w:t>Comment la capacité de travail de la personne expertisée a-t-elle évolué depuis la dernière décision de l’OAI du 9 avril 2019 ?</w:t>
      </w:r>
    </w:p>
    <w:p>
      <w:r>
        <w:rPr>
          <w:b/>
        </w:rPr>
        <w:t>E. 10</w:t>
      </w:r>
    </w:p>
    <w:p>
      <w:r>
        <w:t>Traitement</w:t>
      </w:r>
    </w:p>
    <w:p>
      <w:r>
        <w:rPr>
          <w:b/>
        </w:rPr>
        <w:t>E. 10.1</w:t>
      </w:r>
    </w:p>
    <w:p>
      <w:r>
        <w:t>Examen du traitement suivi par la personne expertisée et analyse de son adéquation ?</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prise de traitement médicamenteux, soit antalgique, soit psychotrope, pouvez-vous vérifier la compliance ou la biodisponibilité à l’aide d’un dosage sanguin ?</w:t>
      </w:r>
    </w:p>
    <w:p>
      <w:r>
        <w:rPr>
          <w:b/>
        </w:rPr>
        <w:t>E. 10.4</w:t>
      </w:r>
    </w:p>
    <w:p>
      <w:r>
        <w:t>En cas de refus ou mauvaise acceptation d’une thérapie, cette attitude doit-elle être attribuée à une incapacité de la personne expertisée à reconnaître sa maladie ?</w:t>
      </w:r>
    </w:p>
    <w:p>
      <w:r>
        <w:rPr>
          <w:b/>
        </w:rPr>
        <w:t>E. 10.5</w:t>
      </w:r>
    </w:p>
    <w:p>
      <w:r>
        <w:t>Propositions thérapeutiques et analyse de leurs effets sur la capacité de travail de la personne expertisée.</w:t>
      </w:r>
    </w:p>
    <w:p>
      <w:r>
        <w:rPr>
          <w:b/>
        </w:rPr>
        <w:t>E. 11</w:t>
      </w:r>
    </w:p>
    <w:p>
      <w:r>
        <w:t>Appréciation d'avis médicaux du dossier</w:t>
      </w:r>
    </w:p>
    <w:p>
      <w:r>
        <w:rPr>
          <w:b/>
        </w:rPr>
        <w:t>E. 11.1</w:t>
      </w:r>
    </w:p>
    <w:p>
      <w:r>
        <w:t>Êtes-vous d'accord avec le contenu et les conclusions des rapports d’expertise du Dr H______ des 9 janvier 2023 et 15 février 2024 ? pour quels motifs ?</w:t>
      </w:r>
    </w:p>
    <w:p>
      <w:r>
        <w:rPr>
          <w:b/>
        </w:rPr>
        <w:t>E. 11.2</w:t>
      </w:r>
    </w:p>
    <w:p>
      <w:r>
        <w:t>Êtes-vous d’accord avec les rapports établis par le Dr E______ les 7 octobre 2020, 10 décembre 2020, 10 juin 2021, 7 avril 2022, 6 septembre 2023 ? pour quels motifs ?</w:t>
      </w:r>
    </w:p>
    <w:p>
      <w:r>
        <w:rPr>
          <w:b/>
        </w:rPr>
        <w:t>E. 11.3</w:t>
      </w:r>
    </w:p>
    <w:p>
      <w:r>
        <w:t>Êtes-vous d’accord avec le rapport établi le 10 août 2020 par les médecins de la clinique de Montana ? pour quels motifs ?</w:t>
      </w:r>
    </w:p>
    <w:p>
      <w:r>
        <w:rPr>
          <w:b/>
        </w:rPr>
        <w:t>E. 12</w:t>
      </w:r>
    </w:p>
    <w:p>
      <w:r>
        <w:t>. Quel est le pronostic ?</w:t>
      </w:r>
    </w:p>
    <w:p>
      <w:r>
        <w:rPr>
          <w:b/>
        </w:rPr>
        <w:t>E. 13</w:t>
      </w:r>
    </w:p>
    <w:p>
      <w:r>
        <w:t>. Des mesures de réadaptation professionnelle sont-elles envisageables ?</w:t>
      </w:r>
    </w:p>
    <w:p>
      <w:r>
        <w:rPr>
          <w:b/>
        </w:rPr>
        <w:t>E. 14</w:t>
      </w:r>
    </w:p>
    <w:p>
      <w:r>
        <w:t>Faire toutes autres observations ou suggestions utiles. 5.             Invite l’expert à déposer, dans trois mois suivant la réception de la présente ordonnance , un rapport en trois exemplaires auprès de la chambre de céans. 6.             Informe les parties de ce qu’elles peuvent former recours contre la présente ordonnance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La présente ordonnance et les pièces en possession du recourant, invoquées comme moyens de preuve, doivent être jointes à l'envoi. La greffière Julia BARRY La présidente Catherine TAPPONNIER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