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A/1562/2023 vom 21. Mai 2024</w:t>
      </w:r>
    </w:p>
    <w:p>
      <w:r>
        <w:t>GE Cour de justice, 2024-05-21, FR</w:t>
      </w:r>
    </w:p>
    <w:p>
      <w:r>
        <w:rPr>
          <w:b/>
        </w:rPr>
        <w:t xml:space="preserve">Quelle: </w:t>
      </w:r>
      <w:r>
        <w:t>https://mcp.opencaselaw.ch/entscheid/ge_gerichte_A_1562_2023</w:t>
      </w:r>
    </w:p>
    <w:p>
      <w:r>
        <w:t>FR: GE_GERICHTE A/1562/2023 du 21 mai 2024</w:t>
      </w:r>
    </w:p>
    <w:p>
      <w:r>
        <w:t>IT: GE_GERICHTE A/1562/2023 del 21 maggio 2024</w:t>
      </w:r>
    </w:p>
    <w:p>
      <w:pPr>
        <w:pStyle w:val="Heading2"/>
      </w:pPr>
      <w:r>
        <w:t>Regeste</w:t>
      </w:r>
    </w:p>
    <w:p>
      <w:r>
        <w:t>DROIT FISCAL;IMPÔT CANTONAL ET COMMUNAL;IMPÔT SUR LES GAINS IMMOBILIERS;REPORT DE L'IMPOSITION;IMPÔT SUR LE REVENU ET LE BÉNÉFICE;DOUBLE IMPOSITION INTERCANTONALE | Lorsqu'une provision a été constituée en cas d'octroi de remploi des bénéfices provenant de la vente de biens immobiliers appartenant à la fortune commerciale, sa dissolution en l'absence de réinvestissement est imposable selon les règles applicables à l'impôt sur le bénéfice. Le remploi a pour effet de différer l'imposition des gains immobiliers jusqu'à la prochaine opération imposable, soit en l'occurrence la dissolution de la provision, selon le principe de réalisation. Ce report d'imposition neutralise le droit du canton de situation de l'immeuble de taxer ce substrat fiscal au profit du canton du siège de la personne morale. Il appartient enfin au Tribunal fédéral de se prononcer sur le respect de l’interdiction de double imposition intercantonale. | LHID.21.al1.letc; LIFD.64.al2; LHID.8.al4; LHID.24.al4; LIPM.17.al1; LIFD.57; LIFD.58.al1.leta; LHID.24.al1.leta; LHID.24.al1.letb; LIPM.12.leta; LIPM.12.leth; LHID.12; Cst.127.al3</w:t>
      </w:r>
    </w:p>
    <w:p>
      <w:pPr>
        <w:pStyle w:val="Heading2"/>
      </w:pPr>
      <w:r>
        <w:t>Erwägungen</w:t>
      </w:r>
    </w:p>
    <w:p>
      <w:r>
        <w:rPr>
          <w:b/>
        </w:rPr>
        <w:t>E. 4</w:t>
      </w:r>
    </w:p>
    <w:p>
      <w:r>
        <w:t>Vu l’issue du litige, un émolument de CHF 1'500.- sera mis à la charge de la contribuable,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