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A/1560/2018 vom 29. November 2018</w:t>
      </w:r>
    </w:p>
    <w:p>
      <w:r>
        <w:t>GE Cour de justice, 2018-11-29, FR</w:t>
      </w:r>
    </w:p>
    <w:p>
      <w:r>
        <w:rPr>
          <w:b/>
        </w:rPr>
        <w:t xml:space="preserve">Quelle: </w:t>
      </w:r>
      <w:r>
        <w:t>https://mcp.opencaselaw.ch/entscheid/ge_gerichte_A_1560_2018</w:t>
      </w:r>
    </w:p>
    <w:p>
      <w:r>
        <w:t>FR: GE_GERICHTE A/1560/2018 du 29 novembre 2018</w:t>
      </w:r>
    </w:p>
    <w:p>
      <w:r>
        <w:t>IT: GE_GERICHTE A/1560/2018 del 29 novembre 2018</w:t>
      </w:r>
    </w:p>
    <w:p>
      <w:pPr>
        <w:pStyle w:val="Heading2"/>
      </w:pPr>
      <w:r>
        <w:t>Erwägungen</w:t>
      </w:r>
    </w:p>
    <w:p>
      <w:r>
        <w:rPr>
          <w:b/>
        </w:rPr>
        <w:t>E. 5</w:t>
      </w:r>
    </w:p>
    <w:p>
      <w:r>
        <w:t>ème Chambre En la cause Madame A_______, domiciliée à GENÈVE, représentée par CARITAS GENÈVE recourante contre SERVICE DES PRESTATIONS COMPLÉMENTAIRES, sis route de Chêne 54, GENÈVE intimé EN FAIT 1.        Madame A_______ est mère de trois enfants, nés en 2005, 2008 et 2016 issus de son union avec Monsieur A_______. Depuis 2011, elle est séparée de son époux,.![endif]&gt;![if&gt; 2.        Suite à la naissance du troisième enfant de l’intéressée, B_______, le service des prestations complémentaires (ci-après SPC) a déterminé, par décision du 8 décembre 2017, le droit aux prestations complémentaires familiales dès le 1 er janvier 2018, en prenant en considération une pension alimentaire potentielle de CHF 8'076.- pour cet enfant.![endif]&gt;![if&gt; 3.        Par courrier du 10 janvier 2018, l’intéressée a formé opposition à cette décision, par l’intermédiaire de son Conseil. Elle s’est opposée à la prise en compte d’une pension alimentaire, le père étant aidé par l’Hospice général et dans l’incapacité de payer une pension alimentaire. Elle avait d’ailleurs dû faire appel au service du SCARPA pour les pensions dues aux autres enfants, mais était arrivée en fin de droit des avances de pension et n’en percevait plus depuis le 1 er février 2016.![endif]&gt;![if&gt; 4.        Par décision du 26 janvier 2018, le SPC a déterminé le droit aux prestations rétroactivement au 1 er décembre 2017, en incluant dans les revenus une pension alimentaire pour le cadet des enfants.![endif]&gt;![if&gt; 5.        Par décision du 4 avril 2018, le SPC a rejeté l’opposition de l’intéressée. Il a relevé qu’il ne tenait plus compte d’une pension alimentaire due par le père pour les deux premiers enfants depuis le 1 er février 2016, les avances du SCARPA ayant pris fin à cette date. Néanmoins, il y avait lieu d'inclure une pension alimentaire potentielle pour l’enfant B_______ dans les plans de calcul, tant qu’aucune démarche n’aura été entreprise en vue de recouvrer la contribution d’entretien et qu’aucun justificatif attestant de l’insolvabilité du débiteur n’aura été transmis au SPC. Il a par ailleurs relevé que la prise en considération d’une pension alimentaire potentielle ne concernait que le droit aux prestations complémentaires familiales et non le droit à l’aide sociale.![endif]&gt;![if&gt; 6.        Par acte du 8 mai 2018, l’intéressée a formé recours contre cette décision, en concluant à son annulation et au recalcul des prestations sans tenir compte de la pension alimentaire potentielle pour le dernier enfant. Elle a allégué que, suite à la séparation de son époux, un jugement sur mesures provisoires urgentes avait été rendu en 2011, condamnant son époux au paiement d’une pension alimentaire pour ses deux enfants. Toutefois, son mari souffrait d’importants ennuis de santé (dépendance, etc.) et était régulièrement suivi par un psychiatre et un psychologue. Ayant perdu son emploi et étant entièrement assisté par l’Hospice général, le SCARPA avait payé les pensions à sa place jusqu’en 2016. Suite à la naissance de leur troisième enfant en 2016, elle n’avait pas entrepris des démarches pour demander une pension en faveur de B_______, en raison de la situation précaire de son époux. Une reprise d’emploi de ce dernier était illusoire, compte tenu de son état de santé. Il peinait également à honorer ses obligations en ce qui concerne le droit de garde dont il bénéficiait. Ainsi, il ne servirait à rien d'initier une procédure devant les tribunaux genevois pour lui réclamer une pension alimentaire, raison pour laquelle l’intimé avait retenu à tort une pension alimentaire potentielle.![endif]&gt;![if&gt; 7.        Dans sa réponse du 20 juillet 2018, l’intimé a conclu au rejet du recours. Rien n’indiquait que le mari de la recourante ne pût lui verser une partie de l’argent perçue de l’Hospice général pour l’entretien de leur fils cadet, dans la mesure où l’aide sociale dépassait le droit au minimum vital. Partant, le caractère irrécouvrable de la pension alimentaire n’était pas apporté.![endif]&gt;![if&gt; 8.        A la demande de la chambre de céans, la recourante lui a transmis le 29 août 2018 copie du jugement relatif aux pensions alimentaires dues par le père à ses enfants aînés. ![endif]&gt;![if&gt; 9.        Le 9 octobre 2018, l’Hospice général a fait parvenir à la chambre de céans la décision d’octroi de prestations au père des enfants de la recourante dont il ressort que le montant des prestations d’aide financière était de CHF 2'164.40 dès octobre 2018. Le loyer avec les charges et la prime d’assurance représentaient CHF 1'194.80 et le forfait pour l'entretien de base CHF 977.-.![endif]&gt;![if&gt; 10.    Par écritures du 29 octobre 2018, l’intimé a admis que l’ex-conjoint de la recourante ne pouvait assumer le versement d’une pension alimentaire et s’en est rapporté à justice quant à l'issue du litige.![endif]&gt;![if&gt; 11.    Sur ce,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Interjeté dans les délai et forme prescrits par la loi, le recours est recevable (art. 43 LPCC ).![endif]&gt;![if&gt; 3.        Est litigieux en l’occurrence le montant des prestations complémentaires familiales dû à la recourante. Plus particulièrement, se pose la question de savoir si l’intimé est en droit de prendre en considération une pension alimentaire potentielle pour le troisième enfant de la recourante.![endif]&gt;![if&gt; 4.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En vertu de l’art. 36D al. 1 LPCC, le montant annuel des prestations complémentaires familiales correspond à la part des dépenses reconnues au sens de l'art. 36F LPCC qui excède le revenu déterminant au sens de l'art. 36E LPCC, mais ne doit pas dépasser le montant prévu à l'art. 15 al. 2 LPCC. L'art 36E LPCC prescrit à son alinéa 1 que 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 7 LPCC (let. b).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Dans la mesure où l’art. 19 al. 1 RPCFam fait référence, sur le plan du principe, à l’art. 11 al. 1 let. g LPC, il est utile de mentionner les directives concernant les prestations complémentaires à l’AVS et à l’AI (ci-après : DPC, valables dès le 1er avril 2011), qui comportent notamment les indications suivantes sur le sujet considéré, même si elles ne sont pas directement applicables en matière de PCFam : -       ch. 3481.01 : Il faut en principe considérer comme revenus tous les éléments de revenu et de fortune auxquels il a été renoncé (art. 11 al. 1 let. g LPC) ; ils sont pris en compte dans le calcul PC comme s’il n’y avait pas été renoncé. ![endif]&gt;![if&gt; -       ch. 3482.09 :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![endif]&gt;![if&gt; -       ch. 3491.04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etc.166) et qu’il n’existe aucun droit à obtenir des avances correspondantes. ![endif]&gt;![if&gt; -       ch. 3491.05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![endif]&gt;![if&gt; -       ch. 3491.06 : Si la contribution d’entretien repose sur un contrat qui n’a pas été approuvé par le juge ou une autorité compétente, l’organe PC tient compte de la contribution convenue pour autant que son montant ne soit pas manifestement trop bas. ![endif]&gt;![if&gt; - ch. 3493.01 : Si aucune contribution d’entretien n’a été prévue en faveur des enfants, l’organe PC doit déterminer une éventuelle obligation y relative et en fixer le montant à prendre en compte sur la base des critères suivants : - ch. 3493. 02.1/14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PC ne sauraient être additionnées au revenu déterminant pour fixer le montant de la contribution d’entretien.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l’occurrence, l’intimé lui-même admet que le conjoint de la recourante ne peut assumer le versement d’une pension alimentaire, au vu du forfait de CHF 977.- dont il bénéficie pour l’entretien de base. La chambre de céans se rallie à cette constatation. En effet, selon les normes d'insaisissabilité pour l'année 2018 (NI-2018; RSG E 3 60.04), le montant de base absolument indispensable  est fixé à CHF 1'200.- par mois pour les frais concernant l’alimentation, les vêtements et le linge y compris leur entretien, les soins corporels et de santé, l’entretien du logement, les assurances privées et les frais culturels. ainsi que les dépenses pour l’éclairage, le courant électrique ou le gaz pour la cuisine.![endif]&gt;![if&gt; Ainsi, il est établi que le père des enfants de la recourante ne dispose même pas du minimum vital pour ses dépenses et n’est donc manifestement pas en mesure de faire face à l'obligation d’entretien de ceux-ci. Toutes les démarches pour obtenir le paiement d'une pension alimentaire s'avèrent par conséquent d'ores et déjà vouées à l'échec. Au demeurant, c'est bien pour cette raison, que l'intimé n'a pas inclus dans son calcul une pension alimentaire pour les deux premiers enfants de la recourante, alors même les contributions d'entretien sont fixées dans un jugement. Aussi, aucune renonciation à un revenu ne peut être reprochée à la recourante. Cela étant, la décision querellée est infondée. 7.        Le recours sera dès lors admis, la décision annulée et la cause renvoyée à l’intimé pour recalcul des prestations complémentaires familiales, sans tenir compte d’une pension alimentaire potentielle.![endif]&gt;![if&gt; 8.        La recourante obtenant gain de cause, une indemnité de CHF 1'000.- lui est octroyée à titre de dépens.![endif]&gt;![if&gt; 9.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