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A/155/2025 vom 28. Oktober 2025</w:t>
      </w:r>
    </w:p>
    <w:p>
      <w:r>
        <w:t>GE Cour de justice, 2025-10-28, FR</w:t>
      </w:r>
    </w:p>
    <w:p>
      <w:r>
        <w:rPr>
          <w:b/>
        </w:rPr>
        <w:t xml:space="preserve">Quelle: </w:t>
      </w:r>
      <w:r>
        <w:t>https://mcp.opencaselaw.ch/entscheid/ge_gerichte_A_155_2025</w:t>
      </w:r>
    </w:p>
    <w:p>
      <w:r>
        <w:t>FR: GE_GERICHTE A/155/2025 du 28 octobre 2025</w:t>
      </w:r>
    </w:p>
    <w:p>
      <w:r>
        <w:t>IT: GE_GERICHTE A/155/2025 del 28 ottobre 2025</w:t>
      </w:r>
    </w:p>
    <w:p>
      <w:pPr>
        <w:pStyle w:val="Heading2"/>
      </w:pPr>
      <w:r>
        <w:t>Erwägungen</w:t>
      </w:r>
    </w:p>
    <w:p>
      <w:r>
        <w:rPr>
          <w:b/>
        </w:rPr>
        <w:t>E. 2</w:t>
      </w:r>
    </w:p>
    <w:p>
      <w:r>
        <w:t>Est litigieuse la question de savoir si le recourant était l’utilisateur effectif d’une AUADP au 28 janvier 2022.</w:t>
      </w:r>
    </w:p>
    <w:p>
      <w:r>
        <w:rPr>
          <w:b/>
        </w:rPr>
        <w:t>E. 2.1</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w:t>
      </w:r>
    </w:p>
    <w:p>
      <w:r>
        <w:rPr>
          <w:b/>
        </w:rPr>
        <w:t>E. 2.2</w:t>
      </w:r>
    </w:p>
    <w:p>
      <w:r>
        <w:t>Les personnes réalisant les conditions de l’art. 46 al. 13 de la loi peuvent requérir la titularité d’une AUADP. La requête doit être déposée dans le délai transitoire mentionné à l’al. 11 du présent article ; l’art. 5 du présent règlement est applicable pour le surplus (art. 57 al. 12 du règlement d’exécution de la LTVTC du 21 juin 2017 - RTVTC - H 1 31 01). L’art. 57 al. 11 RTVTC prévoit que le service peut, pendant le délai transitoire des douze mois visé à l’art. 46 al. 8 LTVTC, délivrer jusqu’à 200 AUADP supplémentaires aux utilisatrices effectifs au sens de l’art. 46 al. 13 LTVTC.</w:t>
      </w:r>
    </w:p>
    <w:p>
      <w:r>
        <w:rPr>
          <w:b/>
        </w:rPr>
        <w:t>E. 2.3</w:t>
      </w:r>
    </w:p>
    <w:p>
      <w:r>
        <w:t>Dans un arrêt du 24 mars 2023 ( ACST/15/2023 ), la chambre constitutionnelle de la Cour de justice (ci-après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En outre,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et ACST/27/2022 du 22 décembre 2022).</w:t>
      </w:r>
    </w:p>
    <w:p>
      <w:r>
        <w:rPr>
          <w:b/>
        </w:rPr>
        <w:t>E. 2.4</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ATA/1327/2024 du 12 novembre 2024 consid. 3.3 ; ATA/886/2023 du 22 août 2023 consid. 6.6 ; ATA/779/2023 du 18 juillet 2023 consid. 5.6.2). Dans un arrêt du 4 juin 2024 ( 2C_690/2023 ), le Tribunal fédéral a confirmé la compatibilité de l’art. 46 al. 13 LTVTC avec les principes de non-rétroactivité des lois et de proportionnalité en lien avec la liberté économique.</w:t>
      </w:r>
    </w:p>
    <w:p>
      <w:r>
        <w:rPr>
          <w:b/>
        </w:rPr>
        <w:t>E. 2.5</w:t>
      </w:r>
    </w:p>
    <w:p>
      <w:r>
        <w:t>En l’espèce, il ressort des nombreuses pièces apportées par le recourant que celui-ci était, au 28 janvier 2022, l’utilisateur effectif de l’AUADP liée aux plaques d’immatriculation 1______. Certes, le recourant n’a pas fourni de contrat relatif à la mise à disposition gratuite par C______ de l’AUADP litigieuse et, lorsqu’il a changé de véhicule pour l’exercice de son activité professionnelle le 1 er mars 2022, le permis de circulation a été établi au nom de celui-ci. Le contrat d’assurance responsabilité civile prenant effet à cette date désigne toutefois le recourant comme preneur d’assurance et l’ensemble des factures relatives à l’entretien du véhicule portant les plaques 1______ a été adressé au recourant. Par ailleurs, les relevés du compte postal sur lequel le recourant percevait sa rémunération de chauffeur de taxi encaissée par carte bancaire démontrent des sommes portées à son crédit en décembre 2021 et tout au long du mois de janvier 2022. Le compte en question est, en outre, libellé « E______ ». Il ressort également des relevés de sa carte d’accès aux places réservées aux taxis dans le parking de l’aéroport qu’il a enregistré pendant la même période de nombreux passages à ce parking. Les disques tachygraphiques relatifs à la l’AUADP 1______ démontrent aussi que le recourant a parcouru, au mois de janvier 2022, de nombreux kilomètres. Rien ne permet de mettre en doute ses explications relatives à la location épisodique d’un véhicule, à la demande de certains clients pour leur transport, notamment d’une famille, déplacements pour lesquels il a continué à utiliser les disques tachygraphiques relatifs aux plaques 1______, dès lors qu’il agissait comme chauffeur de taxi professionnel. Enfin, l’organisme faîtier des chauffeurs de taxi a établi deux attestations selon lesquelles le recourant travaillait régulièrement depuis plusieurs années, notamment avant et après la date de référence, comme chauffeur de taxi. Au vu de l’ensemble de ces éléments, il convient d’admettre que le recourant était, au moment de l’adoption de la nouvelle LTVTC le 28 janvier 2022, utilisateur effectif de l’AUADP 1______ mise à disposition par C______ pour l’exercice de son activité de chauffeur de taxi professionnel. Le recours doit ainsi être admis et la décision querellée annulée. Le dossier sera renvoyé au PCTN afin qu’il accorde une AUADP au recourant, l’intimé ne soutenant pas qu’il ne remplirait pas les autres conditions d’octroi de celle-ci.</w:t>
      </w:r>
    </w:p>
    <w:p>
      <w:r>
        <w:rPr>
          <w:b/>
        </w:rPr>
        <w:t>E. 3</w:t>
      </w:r>
    </w:p>
    <w:p>
      <w:r>
        <w:t>Vu l’issue du litige, il ne sera pas perçu d’émolument et une indemnité de procédure de CHF 1'500.-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