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A/1546/2024 vom 20. Januar 2025</w:t>
      </w:r>
    </w:p>
    <w:p>
      <w:r>
        <w:t>GE Cour de justice, 2025-01-20, FR</w:t>
      </w:r>
    </w:p>
    <w:p>
      <w:r>
        <w:rPr>
          <w:b/>
        </w:rPr>
        <w:t xml:space="preserve">Quelle: </w:t>
      </w:r>
      <w:r>
        <w:t>https://mcp.opencaselaw.ch/entscheid/ge_gerichte_A_1546_2024</w:t>
      </w:r>
    </w:p>
    <w:p>
      <w:r>
        <w:t>FR: GE_GERICHTE A/1546/2024 du 20 janvier 2025</w:t>
      </w:r>
    </w:p>
    <w:p>
      <w:r>
        <w:t>IT: GE_GERICHTE A/1546/2024 del 20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de 30 jours prévus par la loi, compte tenu de la suspension des délais du septième jour avant Pâques au septième jour après Pâques inclusivement, le recours est recevable (art. 38 al. 4 let. a, 60 al. 1 et 61 let. b LPGA ; art. 62 al. 1 let. a et 89C let. a de la loi sur la procédure administrative du 12 septembre 1985 - LPA - E 5 10).</w:t>
      </w:r>
    </w:p>
    <w:p>
      <w:r>
        <w:rPr>
          <w:b/>
        </w:rPr>
        <w:t>E. 2</w:t>
      </w:r>
    </w:p>
    <w:p>
      <w:r>
        <w:t>Le litige porte sur la conformité au droit du terme mis par l'intimée aux prestations d'assurance au 31 décembre 2023.</w:t>
      </w:r>
    </w:p>
    <w:p>
      <w:r>
        <w:rPr>
          <w:b/>
        </w:rPr>
        <w:t>E. 3.1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 art. 6 al. 2 LAA).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3.3</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(arrêts du Tribunal fédéral 8C_315/2023 du 9 janvier 2014 consid. 6.1 et les références ; 8C_50/2023 du 14 septembre 2023 consid. 7.1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du Tribunal fédéral 8C_461/2023 du 8 février 2024 consid. 4.3.1.1).</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4.2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4.3</w:t>
      </w:r>
    </w:p>
    <w:p>
      <w:r>
        <w:t>Dans le contexte de la suppression du droit à des prestations d'assurance sociale,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4.4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5.1</w:t>
      </w:r>
    </w:p>
    <w:p>
      <w:r>
        <w:t>En l'espèce, le recourant a été victime d'un accident le 9 janvier 2023, à la suite duquel l'intimée lui a octroyé les prestations d'assurance, soit l'indemnité journalière et la prise en charge des frais de traitement. Elle a ensuite mis fin aux prestations avec effet au 31 décembre 2023, jugeant que le recourant avait retrouvé son état de santé tel qu'il était avant l'accident. Le recourant conteste cette appréciation, car la tendinite au coude serait encore présente, comme la fracture à la tête du fémur.</w:t>
      </w:r>
    </w:p>
    <w:p>
      <w:r>
        <w:rPr>
          <w:b/>
        </w:rPr>
        <w:t>E. 5.2</w:t>
      </w:r>
    </w:p>
    <w:p>
      <w:r>
        <w:t>L'intimée a fondé sa décision sur les conclusions du médecin d'assurance. Le Dr I______ a rendu une première appréciation brève le 30 octobre 2023, dans laquelle il constatait que le traumatisme déclaré n'avait pas entraîné de lésion aiguë telle que fracture ou rupture tendineuse et que l'accident avait provoqué des contusions multiples dans le cadre de lombalgies chroniques non déficitaires avec absence d'irritation radiculaire. Il concluait que, du fait de l'atteinte chronique, l'événement avait fini de déployer ses effets au maximum à trois mois en tenant compte d'un traitement médical selon les règles de l'art. Le Dr I______ a ensuite confirmé sa conclusion dans une seconde appréciation brève du 7 décembre 2023, après avoir eu connaissance des rapports des examens passés par le recourant en octobre 2023. Le 6 mars 2024, le Dr I______ a une nouvelle fois examiné le dossier, dans le cadre d'une appréciation médicale cette fois. L'accident n'avait pas causé de lésions objectivables, pas d'atteinte aiguë déterminante et la description dans le rapport radiologique d'une fracture d'ostéophyte était à mettre en parallèle avec la coxarthrose diagnostiquée et ne pouvait être validée au degré de la vraisemblance prépondérante. Il s'agissait d'une aggravation aiguë transitoire d'un état préexistant avancé sous forme d'une atteinte dégénérative étagée du rachis lombaire et d'une coxarthrose bilatérale, de sorte que l'événement avait fini de déployer ses effets à trois mois en tenant compte d'un traitement médical conservateur et de l'importance de l'atteinte dégénérative préexistante. Pour rendre cette dernière appréciation, le Dr I______ a pris en compte l'ensemble des éléments médicaux pertinents du dossier, dont le rapport de l'IRM du bassin du 26 octobre 2023 concluant à une déchirure du labrum large transfixiante au niveau supéro-latéral et antéro-supérieur du côté droit, le rapport de la scintigraphie osseuse avec SPECT/CT du 30 octobre 2023, constatant l'existence d'une petite fracture ostéophytaire, ainsi que le rapport du Dr G______ reprenant le diagnostic de fracture ostéophytaire concomitante à droite. Le médecin d'assurance a par ailleurs demandé un avis à un radiologue, le Dr M______. Ce dernier a précisé, en ce qui concernait « les articulations coxo-fémorales : la confirmation d'une coxarthrose bilatérale plus sévère à droite avec de larges lésions ostéochondrales de grade IV, des ostéophytes marginaux, des fissurations labrales un kyste para labral associé à droite de 3,5 mm de plus grand diamètre, antéro‑supérieur ; le foyer d'hyperactivité ostéoblastique documenté du côté droit correspond[ait] en tomodensitométrie à une zone d'épaississement et de sclérose accentuée de la marge supéro-latérale du cotyle avec en regard des ossifications hétérotypiques des plans capsulo-ligamentaire concernant notamment le labrum, certaines fusionnées avec la marge cotyloïdienne ; cet aspect [était] fréquemment observé dans le cadre de la coxarthrose sans argument orientant vers une fracture d'ostéophyte ; il n'y a[vait] pas d'argument pour une évolution post-traumatique au niveau de cette hanche droite ». Il a conclu que l'analyse des examens réalisés en octobre 2023 confirmait une coxarthrose bilatérale, plus sévère à droite avec une hyperactivité ostéoblastique marginale supéro-latérale du cotyle en rapport avec une sclérose documentée par le CT scanner , quelques ossifications hétérotopiques étant isolées en regard dans le cadre de la coxarthrose, sans argument spécifique pour une fracture d'ostéophyte ou une quelconque évolution post-traumatique. Toutefois, pour conclure à l'absence d'établissement de la fracture d'ostéophyte au degré de la vraisemblance prépondérante, le Dr I______ ne souligne que la mise en lien avec la coxarthrose et l'avis du Dr M______, sans expliquer précisément pourquoi il écarte les rapports des Drs J______ et K______, ainsi que du Dr G______ au profit de l'avis du Dr M______. Or, les Drs J______ et K______, ainsi que le Dr G______ ont également constaté la coxarthrose, mais ont eux relevé une fracture ostéophytaire, contrairement au Dr M______. Ainsi, pour eux, le contexte de coxarthrose ne conduisait pas à nier la fracture. Le Dr G______ a par ailleurs mis en lien la fracture à la tête du fémur avec l'accident. Sur ce point, le fait que le Dr I______ ait demandé un avis au Dr M______ démontre bien le fait qu'il n'estimait pas être en mesure de prendre position sur la seule base du dossier, mais que l'avis d'un tiers était nécessaire. Or, l'avis du Dr M______ ne constitue pas une expertise et va à l'encontre des constatations de trois médecins, sans que le Dr I______ n'ait motivé les raisons pour lesquels il l'estimait plus convaincant. Dans ce contexte, l'intimée ne pouvait retenir le défaut d'établissement de la fracture au degré de la vraisemblance prépondérante sans mener une instruction complémentaire. Par ailleurs, même s'il l'a mentionnée dans le détail des faits de son appréciation du 6 mars 2024, le Dr I______ n'a pas répondu, en relation avec la déchirure du labrum large transfixiante au niveau supéro-latéral et antéro-supérieur du côté droit diagnostiquée le 26 octobre 2023, à la question de l'intimée concernant les autres troubles et les raisons pour lesquelles ils ne pouvaient pas être mis en lien avec l'accident. Ainsi, ni l'appréciation brève du 7 décembre 2023 – pourtant sollicitée expressément notamment en raison des examens médicaux du 26 octobre 2023 faisant état de ladite déchirure –, ni l'appréciation du 6 mars 2024 ne comportent de motivation circonstanciée par rapport à la déchirure du labrum large transfixiante, à l'origine de cette déchirure et à l'éventuel lien avec l'accident et/ou les maladies préexistantes, ainsi que par rapport au rétablissement de la situation sans accident quant à cette déchirure. Une instruction complémentaire s'imposait dès lors également sur ce point. S'agissant de la tendinite au coude, elle est englobée dans la constatation du médecin de l'assurance d'absence de lésion objectivable et d'atteinte aiguë déterminante, l'accident ayant cessé de déployer ses effets après trois mois. Il ressort du dossier qu'à la suite de l'accident, un diagnostic de contusion du tendon tricipital sans déchirure ni désinsertion a été posé le 11 janvier 2023, et que le recourant avait ensuite, le 11 avril 2023, des données du coude droit dans les limites de la norme, sans lésion osseuse ou tendineuse traumatique aiguë décelée, ainsi qu'un minime épanchement intra-articulaire. Il a bénéficié de prescriptions les 20 mars, 8 mai et 31 mai 2023 pour 27 séances de physiothérapie, notamment pour traiter son coude. Le traitement de physiothérapie n'a ensuite plus englobé le coude, puisque l'ordonnance du Dr B______ du 7 juillet 2023 ne porte plus que sur les lombalgies chroniques. Le rapport du 10 août 2023 du Dr B______ ne fait aucune mention du coude et il ne ressort pas du dossier que le recourant aurait par la suite encore consulté un médecin en raison de sa tendinite au coude, ce qu'il n'allègue d'ailleurs pas. Il ne ressort pas non plus du dossier qu'il se serait plaint de son coude auprès de ses médecins traitants. Rien ne remet dès lors en cause les constatations d'un retour à la situation antérieure à l'accident s'agissant du coude du recourant.</w:t>
      </w:r>
    </w:p>
    <w:p>
      <w:r>
        <w:rPr>
          <w:b/>
        </w:rPr>
        <w:t>E. 5.3</w:t>
      </w:r>
    </w:p>
    <w:p>
      <w:r>
        <w:t>Au vu de ce qui précède, l'instruction s'avère insuffisante en ce qui concerne l'éventuelle fracture ostéophytaire et la déchirure du labrum large transfixiante au niveau supéro-latéral et antéro-supérieur du côté droit. Par conséquent et dans la mesure où il appartient, en premier lieu, à l'intimée d'instruire de manière complète le cas avant de rendre sa décision, il se justifie de lui renvoyer la cause afin qu'elle mène une instruction complémentaire sur ces deux points, le cas échéant en diligentant une expertise conformément à l'art. 44 LPGA.</w:t>
      </w:r>
    </w:p>
    <w:p>
      <w:r>
        <w:rPr>
          <w:b/>
        </w:rPr>
        <w:t>E. 6</w:t>
      </w:r>
    </w:p>
    <w:p>
      <w:r>
        <w:t>Compte tenu de ce qui précède, la chambre de céans ne donnera pas suite à la demande d’expertise judiciaire formulée par le recourant.</w:t>
      </w:r>
    </w:p>
    <w:p>
      <w:r>
        <w:rPr>
          <w:b/>
        </w:rPr>
        <w:t>E. 7</w:t>
      </w:r>
    </w:p>
    <w:p>
      <w:r>
        <w:t>Dans ces circonstances, le recours sera partiellement admis, la décision sur opposition litigieuse annulée et la cause renvoyée à l'intimée pour instruction et nouvelle décision au sens des considérants. Malgré l'issue du litige, aucune indemnité ne sera allouée au recourant à titre de participation à ses frais et dépens, ce dernier n'étant pas représenté (art. 61 let. g LPGA ; art. 6 du règlement sur les frais, émoluments et indemnités en matière administrative du 30 juillet 1986 - RFPA - E 5 10.03). Pour le surplus, la procédure est gratuite (art. 61 let. f bis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