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A/1540/2023 vom 21. Mai 2024</w:t>
      </w:r>
    </w:p>
    <w:p>
      <w:r>
        <w:t>GE Cour de justice, 2024-05-21, FR</w:t>
      </w:r>
    </w:p>
    <w:p>
      <w:r>
        <w:rPr>
          <w:b/>
        </w:rPr>
        <w:t xml:space="preserve">Quelle: </w:t>
      </w:r>
      <w:r>
        <w:t>https://mcp.opencaselaw.ch/entscheid/ge_gerichte_A_1540_2023</w:t>
      </w:r>
    </w:p>
    <w:p>
      <w:r>
        <w:t>FR: GE_GERICHTE A/1540/2023 du 21 mai 2024</w:t>
      </w:r>
    </w:p>
    <w:p>
      <w:r>
        <w:t>IT: GE_GERICHTE A/1540/2023 del 21 maggio 2024</w:t>
      </w:r>
    </w:p>
    <w:p>
      <w:pPr>
        <w:pStyle w:val="Heading2"/>
      </w:pPr>
      <w:r>
        <w:t>Erwägungen</w:t>
      </w:r>
    </w:p>
    <w:p>
      <w:r>
        <w:rPr>
          <w:b/>
        </w:rPr>
        <w:t>E. 2</w:t>
      </w:r>
    </w:p>
    <w:p>
      <w:r>
        <w:t>Le recourant conteste que le dépôt de cartons sur la voie publique incriminé lui soit imputable.</w:t>
      </w:r>
    </w:p>
    <w:p>
      <w:r>
        <w:rPr>
          <w:b/>
        </w:rPr>
        <w:t>E. 2.1</w:t>
      </w:r>
    </w:p>
    <w:p>
      <w:r>
        <w:t>La loi sur la gestion des déchets du 20 mai 1999 (LGD - L 1 20) règle la gestion de l’ensemble des déchets résultant d’activités déployées sur le territoire du canton ou éliminés à Genève, à l’exclusion des déchets radioactifs (art. 1). Elle interdit d’éliminer ou de déposer des déchets hors des installations publiques ou privées autorisées par le département ou des emplacements aménagés à cet effet et désignés par voie de règlement (art. 10 al. 1). Elle charge les communes de la collecte, du transport et de l’élimination des déchets ménagers (art. 12 al. 1) ainsi que de l’organisation de des collectes sélectives des autres déchets ménagers valorisables ou nuisibles pour l’environnement, selon les besoins et aux emplacements appropriés, et veillent à leur élimination (art. 12 al. 3). Les communes peuvent édicter des règlements particuliers (art. 12 al. 4). La collecte, le transport et l’élimination des déchets, à l’exception des déchets ménagers, sont à la charge des particuliers (art. 16 al. 1). Ceux-ci veillent à ce que les filières d’élimination les plus respectueuses de l’environnement soient utilisées en conformité avec la législation fédérale et cantonale et à ce que les autorisations adéquates de mouvement ou d’élimination des déchets soient délivrées (art. 16 al. 3). Les propriétaires d’immeubles sont tenus, à la demande des autorités communales, de mettre à disposition des occupants de ceux-ci les conteneurs nécessaires au tri et au dépôt des déchets, selon un modèle agréé par les communes et le département (art. 17 al. 1). Le règlement fixe les modalités d’usage des conteneurs en fonction du tri et de la collecte sélective des déchets (art. 17 al. 2).</w:t>
      </w:r>
    </w:p>
    <w:p>
      <w:r>
        <w:rPr>
          <w:b/>
        </w:rPr>
        <w:t>E. 2.2</w:t>
      </w:r>
    </w:p>
    <w:p>
      <w:r>
        <w:t>Selon le règlement d'application de la loi sur la gestion des déchets du 28 juillet 1999 (RGD - L 1 20.01), les déchets ménagers se composent de déchets organiques, de déchets incinérables, de déchets encombrants, d'autres déchets collectables séparément, de déchets spéciaux et autres déchets soumis à contrôle (art. 15 al. 1 let. a). Tout immeuble destiné à l’habitation ou au travail doit être pourvu de locaux ou emplacements réservés à la remise de conteneurs. Ces locaux ou emplacements doivent être facilement et gratuitement accessibles et, en principe, être dimensionnés de manière à permettre un tri et une collecte sélective des déchets ménagers (art. 18 al. 1). Les propriétaires des immeubles sont tenus de fournir en nombre suffisant les conteneurs et de maintenir les emplacements, les locaux et le mobilier dans un parfait état de propreté et d’hygiène. Ils affichent les informations relatives aux levées organisées par les communes (art. 18 al. 2).</w:t>
      </w:r>
    </w:p>
    <w:p>
      <w:r>
        <w:rPr>
          <w:b/>
        </w:rPr>
        <w:t>E. 2.3</w:t>
      </w:r>
    </w:p>
    <w:p>
      <w:r>
        <w:t>Selon l’art. 43 al. 1 LGD, est passible d’une amende administrative de CHF 200.- à CHF 400'000.- tout contrevenant (a) à la LGD ; (b) aux règlements et arrêtés édictés en vertu de la LGD ; (c) aux ordres donnés par l’autorité compétente dans les limites de la LGD et des règlements et arrêtés édictés en vertu de celle-ci. Les amendes peuvent être infligées tant à des personnes morales qu'à des personnes physiques (al. 2). Le délai de prescription est de sept ans (al. 3). Les contraventions sont constatées par les agents de la force publique et tous autres agents ayant mandat de veiller à l’observation de la loi (art. 44 al. 1 LGD). Les règlements communaux peuvent prévoir les sanctions et les mesures prévues dans la loi (art. 17 al. 2 RGD).</w:t>
      </w:r>
    </w:p>
    <w:p>
      <w:r>
        <w:rPr>
          <w:b/>
        </w:rPr>
        <w:t>E. 2.4</w:t>
      </w:r>
    </w:p>
    <w:p>
      <w:r>
        <w:t>Le règlement de la ville sur la gestion des déchets du 25 janvier 2024 (LC  21 911) règle la collecte des déchets ménagers (art. 22 s.), dispose qu’il est interdit d’éliminer ou de déposer des déchets sur le territoire de la Ville de Genève hors des emplacements et installations aménagés à cet effet et en dehors des horaires définis par le service en charge de la collecte des déchets (art. 32 al. 1) et reprend en substance la disposition de la LGD concernant les amendes administratives (art. 33).</w:t>
      </w:r>
    </w:p>
    <w:p>
      <w:r>
        <w:rPr>
          <w:b/>
        </w:rPr>
        <w:t>E. 2.5</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w:t>
      </w:r>
    </w:p>
    <w:p>
      <w:r>
        <w:rPr>
          <w:b/>
        </w:rPr>
        <w:t>E. 2.6</w:t>
      </w:r>
    </w:p>
    <w:p>
      <w:r>
        <w:t>Selon l'art. 7 par. 1 de la Convention de sauvegarde des droits de l’homme et des libertés fondamentales du 4 novembre 1950 (CEDH - RS 0.101), nul ne peut être condamné pour une action ou une omission qui, au moment où elle a été commise, ne constituait pas une infraction d'après le droit national ou international. Le principe de la légalité est consacré par l'art. 1 du Code pénal suisse du 21 décembre 1937 (CP - RS 311.0), qui prévoit qu'une peine ou une mesure ne peuvent être prononcées qu'en raison d'un acte expressément réprimé par la loi. La norme pénale doit être formulée de manière suffisamment précise pour que les citoyens puissent s'y conformer et identifier les conséquences d'un comportement donné avec un degré de certitude correspondant aux circonstances (ATF 144 I 242 consid. 3.1.2 ; 141 IV 179 consid. 1.3.3 ;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147 IV 274 consid. 2.1.1 ; arrêt du Tribunal fédéral 6B_315/2022 du 29 septembre 2022 consid. 1.1).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w:t>
      </w:r>
    </w:p>
    <w:p>
      <w:r>
        <w:rPr>
          <w:b/>
        </w:rPr>
        <w:t>E. 2.7</w:t>
      </w:r>
    </w:p>
    <w:p>
      <w:r>
        <w:t>Selon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La loi énumère plusieurs sources pouvant fonder une position de garant, à savoir la loi, un contrat, une communauté de risques librement consentie ou la création d'un risque (art. 11 al. 2 CP). N'importe quelle obligation juridique ne suffit cependant pas. Il doit s'agir d'une obligation juridique qualifiée (message du 21 septembre 1998 concernant la modification du code pénal suisse, FF 1999, p. 1808 ; Ursula CASSANI, in Commentaire romand, Code pénal I,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 134 IV 255 consid. 4.2.1). Pour déterminer si un délit d'omission improprement dit est réalisé, il y a tout d'abord lieu d'examiner si la personne à laquelle l'infraction est imputée se trouvait dans une situation de garant (ATF 108 IV 5 consid. 1a et b). Ce n'est que si tel était bien le cas que l'on peut établir l'étendue du devoir de diligence qui découle de cette position de garant (ATF 110 IV 70 consid. 2) et quels actes concrets l'intéressé était tenu d'accomplir en raison de ce devoir de diligence. Dans les conditions fixées par la loi, l'employeur est responsable, sur le plan civil, des dommages causés par ses employés à ses cocontractants (art. 101 de la loi fédérale du 30 mars 1911, complétant le Code civil suisse - CO, Code des obligations - RS 220) ou à des tiers (art. 55 CO). L’employeur se trouve ainsi dans une position de garant. Pour s'exculper, il doit prouver qu'il a pris tous les soins commandés par les circonstances concrètes ( cura in eligendo, instruendo et custodiendo ) ou qu'un comportement diligent n'aurait pas empêché la survenance du dommage. Les exigences envers l'employeur sont élevées. L'admission de motifs libératoires ne doit être admise que restrictivement. La diligence requise est proportionnelle à la dangerosité du travail de l'auxiliaire. Cela étant, on ne saurait demander l'impossible. Il faut s'en tenir à ce qui est raisonnablement exigible dans la marche quotidienne d'une entreprise (ATF 110 II 456 consid. 2 ; arrêt du Tribunal fédéral 4A_326/2008 du 16 décembre 2008 consid. 5.3 ; Franz WERRO/Michel PERRITAZ, Commentaire romand, Code des obligations I, 3 e éd. 2021, n os 18 ss ad art. 55 CO ; Roland BREHM, Berner Kommentar, 5 e éd. 2021, n os 46 ss ad art. 55 CO)</w:t>
      </w:r>
    </w:p>
    <w:p>
      <w:r>
        <w:rPr>
          <w:b/>
        </w:rPr>
        <w:t>E. 2.8</w:t>
      </w:r>
    </w:p>
    <w:p>
      <w:r>
        <w:t>En l’espèce, l’intimée a fondé l’amende administrative querellée sur les « art. 1 et suiv., not. art. 10, 12, 43 et 44 » LGD et « art. 1 et suiv., not. art. 5 et 17 » RGD. Le procès-verbal du constat d’infraction coche la case « papier-carton », mentionne « non utilisation du conteneur PC. Contact avec le concierge ce jour » et coche la case « reconnaissance des faits ». C’est sur l’art. 10 LGD, qui interdit d’éliminer ou de déposer des déchets hors des installations publiques ou privées autorisées par le département ou des emplacements aménagés à cet effet et désignés par voie de règlement, que l’intimée fonde le comportement qu’elle reproche et l’amende qu’elle a infligée au recourant. Il n’est pas contesté que les cartons ont bien été déposés dans la rue – et non dans un conteneur – non par le recourant lui-même mais par le concierge de l’immeuble, ce que ce dernier a reconnu. Le concierge est ainsi l’auteur direct de l’infraction à l’art. 10 LGD. Il convient de déterminer si son comportement ou un autre comportement punissable peut également être imputé au recourant. L’art. 10 LGD ne prévoit pas de punissabilité à un autre titre, comme la qualité de propriétaire de l’immeuble. La LGD n’institue par ailleurs pas d’obligation du propriétaire de s’assurer qu’aucun dépôt sauvage n’a lieu devant son immeuble, dont la violation serait érigée en infraction par l’art. 43 LGD. Il reste à examiner si la qualité d’employeur du recourant pouvait fonder sa responsabilité pénale compte tenu de sa position de garant. La question du lien de causalité souffrira de demeurer indécise, vu ce qui suit. Le TAPI a retenu que le recourant avait instruit le concierge de manière défaillante, puisque celui-ci avait violé la LGD. Ce raisonnement ne peut être suivi, dans la mesure où il revient en pratique à exclure la preuve libératoire à chaque fois qu’une infraction est commise par l’employé. Le recourant a relevé à juste titre que le concierge avait admis sa faute, ce qui signifiait qu’il connaissait ses obligations et avait partant été correctement choisi ( cura in eligendo ) et instruit ( cura in instruendo ). L’intimée ne soutient pas pour le surplus que le concierge serait coutumier des débarras sauvages, de sorte qu’il ne peut être reproché au recourant une carence dans son devoir de surveillance ( cura in custodiendo ) – s’agissant par ailleurs d’un comportement à la gravité toute relative ne menaçant pas des biens de valeur élevée. Le recourant doit donc – sans qu’il soit nécessaire d’entendre le concierge ni d’ailleurs d’examiner le grief de violation du droit d’être entendu – être mis au bénéfice de la preuve libératoire, de sorte qu’aucune infraction ne peut lui être imputée au titre de sa position de garant. Il sera encore observé que les références invoquées devant le TAPI par l’intimée au sujet de l’imputation par principe au mandant des actes du mandataire concernent les conséquences procédurales de l’irrespect de délais procéduraux et non pénaux de la commission d’une infraction. Le recours sera admis et le jugement et la décision attaquée seront annulés.</w:t>
      </w:r>
    </w:p>
    <w:p>
      <w:r>
        <w:rPr>
          <w:b/>
        </w:rPr>
        <w:t>E. 3</w:t>
      </w:r>
    </w:p>
    <w:p>
      <w:r>
        <w:t>Vu l'issue du litige, un émolument de CHF 500.- sera mis à la charge de l’intimée (art. 87 al. 1 LPA) et une indemnité de procédure de CHF 500.- sera allouée au recourant,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