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A/1539/2025 vom 27. Mai 2025</w:t>
      </w:r>
    </w:p>
    <w:p>
      <w:r>
        <w:t>GE Cour de justice, 2025-05-27, FR</w:t>
      </w:r>
    </w:p>
    <w:p>
      <w:r>
        <w:rPr>
          <w:b/>
        </w:rPr>
        <w:t xml:space="preserve">Quelle: </w:t>
      </w:r>
      <w:r>
        <w:t>https://mcp.opencaselaw.ch/entscheid/ge_gerichte_A_1539_2025</w:t>
      </w:r>
    </w:p>
    <w:p>
      <w:r>
        <w:t>FR: GE_GERICHTE A/1539/2025 du 27 mai 2025</w:t>
      </w:r>
    </w:p>
    <w:p>
      <w:r>
        <w:t>IT: GE_GERICHTE A/1539/2025 del 27 maggio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Interjeté dans la forme et le délai prévus par la loi, le recours est prima facie recevable (art. 56 et 60 de la loi fédérale sur la partie générale du droit des assurances sociales du 6 octobre 2000 [LPGA - RS 830.1]; art. 89B de la loi sur la procédure administrative du 12 septembre 1985 [LPA-GE - E 5 10]).</w:t>
      </w:r>
    </w:p>
    <w:p>
      <w:r>
        <w:rPr>
          <w:b/>
        </w:rPr>
        <w:t>E. 2</w:t>
      </w:r>
    </w:p>
    <w:p>
      <w:r>
        <w:t>Selon l'art. 54 al. 1 let. c LPGA les décisions et les décisions sur opposition sont exécutoires lorsque l'effet suspensif attribué à une opposition ou à un recours a été retiré.</w:t>
      </w:r>
    </w:p>
    <w:p>
      <w:r>
        <w:rPr>
          <w:b/>
        </w:rPr>
        <w:t>E. 2.1</w:t>
      </w:r>
    </w:p>
    <w:p>
      <w:r>
        <w:t>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w:t>
      </w:r>
    </w:p>
    <w:p>
      <w:r>
        <w:rPr>
          <w:b/>
        </w:rPr>
        <w:t>E. 2.2</w:t>
      </w:r>
    </w:p>
    <w:p>
      <w:r>
        <w:t>L’art. 66 LPA prescrit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3). Un effet suspensif ne peut être restitué lorsque le recours est dirigé contre une décision à contenu négatif ; la fonction de l'effet suspensif est de maintenir un régime juridique prévalant avant la décision contestée (ATF 127 II 132 ; 126 V 407 ; 116 Ib 344 ).</w:t>
      </w:r>
    </w:p>
    <w:p>
      <w:r>
        <w:rPr>
          <w:b/>
        </w:rPr>
        <w:t>E. 2.3</w:t>
      </w:r>
    </w:p>
    <w:p>
      <w:r>
        <w:t>L’art. 21 al. 1 LPA permet par ailleurs le prononcé de mesures provisionnelles. Selon la jurisprudence, des mesures provisionnelles ne sont légitimes que si elles s'avèrent indispensables au maintien d'un état de fait ou à la sauvegarde d'intérêts compromis (ATF 119 V 503 consid. 3 ; ATA/503/2018 du 23 mai 2018 ; ATA/955/2016 du 9 novembre 2016 consid. 4). Elles ne sauraient, en principe, anticiper le jugement définitif (Isabelle HÄNER, Vorsorgliche Massnahmen in Verwaltungsverfahren und Verwaltungsprozess in RDS 1997 II 253 -420, 265). Par ailleurs, l'octroi de mesures provisionnelles présuppose l'urgence, à savoir que le refus de les ordonner crée pour l'intéressé la menace d'un dommage difficile à réparer (ATF 130 II 149 consid. 2.2 ; 127 II 132 consid. 3 = RDAF 2002 I 405 ) ;</w:t>
      </w:r>
    </w:p>
    <w:p>
      <w:r>
        <w:rPr>
          <w:b/>
        </w:rPr>
        <w:t>E. 2.4</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w:t>
      </w:r>
    </w:p>
    <w:p>
      <w:r>
        <w:rPr>
          <w:b/>
        </w:rPr>
        <w:t>E. 2.5</w:t>
      </w:r>
    </w:p>
    <w:p>
      <w:r>
        <w:t>En l’espèce, en n’octroyant les prestations qu’à partir du 1 er octobre 2024, l’intimé a rendu une décision négative pour la période du 19 décembre 2023 au 1 er octobre 2024. Or, les effets d’une telle décision ne sont pas susceptibles d’être suspendus pendant une procédure de recours. Si la recourante avait voulu obtenir le versement de ces prestations complémentaires durant la procédure de recours, elle aurait dû présenter une demande de mesures provisionnelles. Quand bien même elle l’aurait fait, l'octroi des mesures provisionnelles requises reviendrait à lui accorder ce qu'elle réclame au fond, anticipant ainsi le jugement qui va suivre. Une telle situation n’est pas admissible au regard des motifs exposés ci-avant. L’intérêt privé de la recourante doit en effet céder le pas à celui de l'administration à ne pas verser des prestations. Enfin, les chances de succès de la recourante ne paraissent, à première vue, pas à un tel point évidentes qu'il conviendrait de lui octroyer des mesures provisionnelles. Il s’ensuit que la demande de restitution de l’effet suspensif, comprise comme une demande de mesures provisionnelles, sera rejetée.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