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A/1538/2022 vom 16. Juni 2023</w:t>
      </w:r>
    </w:p>
    <w:p>
      <w:r>
        <w:t>GE Cour de justice, 2023-06-16, FR</w:t>
      </w:r>
    </w:p>
    <w:p>
      <w:r>
        <w:rPr>
          <w:b/>
        </w:rPr>
        <w:t xml:space="preserve">Quelle: </w:t>
      </w:r>
      <w:r>
        <w:t>https://mcp.opencaselaw.ch/entscheid/ge_gerichte_A_1538_2022</w:t>
      </w:r>
    </w:p>
    <w:p>
      <w:r>
        <w:t>FR: GE_GERICHTE A/1538/2022 du 16 juin 2023</w:t>
      </w:r>
    </w:p>
    <w:p>
      <w:r>
        <w:t>IT: GE_GERICHTE A/1538/2022 del 16 giugno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Selon l’art. 69 al. 1 let. a LAI, les décisions des offices AI cantonaux peuvent directement faire l’objet d’un recours devant le tribunal des assurances du domicile de l’office concerné. Sa compétence pour juger du cas d’espèce est ainsi établie.</w:t>
      </w:r>
    </w:p>
    <w:p>
      <w:r>
        <w:rPr>
          <w:b/>
        </w:rPr>
        <w:t>E. 1.2</w:t>
      </w:r>
    </w:p>
    <w:p>
      <w:r>
        <w:t>À teneur de l'art. 1 al. 1 LAI, les dispositions de la LPGA s'appliquent à l'assurance-invalidité, à moins que la loi n'y déroge expressément.![endif]&gt;![if&gt;</w:t>
      </w:r>
    </w:p>
    <w:p>
      <w:r>
        <w:rPr>
          <w:b/>
        </w:rPr>
        <w:t>E. 1.3</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au moment où les faits juridiquement déterminants se sont produits, sous réserve de dispositions particulières de droit transitoire (cf. ATF 136 V 24 consid. 4.3 et la référence). En l'occurrence, le recourant a déposé sa demande AI en juin 2021, en raison d'une incapacité de travail qui a débuté en 2020, de sorte que le droit à une éventuelle rente d'invalidité naitrait antérieurement au 1 er janvier 2022, commandant l'application des dispositions légales dans leur teneur en vigueur jusqu'au 31 décembre 2021.</w:t>
      </w:r>
    </w:p>
    <w:p>
      <w:r>
        <w:rPr>
          <w:b/>
        </w:rPr>
        <w:t>E. 1.4</w:t>
      </w:r>
    </w:p>
    <w:p>
      <w:r>
        <w:t>Le délai de recours est de trente jours (art. 56 LPGA ; art. 62 al. 1 de la de loi sur la procédure administrative du 12 septembre 1985 [LPA - E 5 10]).![endif]&gt;![if&gt; Interjeté dans la forme et le délai prévus par la loi, le recours est recevable.</w:t>
      </w:r>
    </w:p>
    <w:p>
      <w:r>
        <w:rPr>
          <w:b/>
        </w:rPr>
        <w:t>E. 2</w:t>
      </w:r>
    </w:p>
    <w:p>
      <w:r>
        <w:t>Le litige porte sur le droit du recourant à des prestations de l'assurance-invalidité, en particulier une rente d’invalidité et/ou des mesures professionnelles.![endif]&gt;![if&gt;</w:t>
      </w:r>
    </w:p>
    <w:p>
      <w:r>
        <w:rPr>
          <w:b/>
        </w:rPr>
        <w:t>E. 3</w:t>
      </w:r>
    </w:p>
    <w:p>
      <w:r>
        <w:t>![endif]&gt;![if&gt;</w:t>
      </w:r>
    </w:p>
    <w:p>
      <w:r>
        <w:rPr>
          <w:b/>
        </w:rPr>
        <w:t>E. 3.1</w:t>
      </w:r>
    </w:p>
    <w:p>
      <w:r>
        <w:t>Aux termes des art. 8 al. 1 LPGA et 4 al. 1 LAI, est réputée invalidité l'incapacité de gain totale ou partielle qui est présumée permanente ou de longue durée, résultant d'une infirmité congénitale, d'une maladie ou d'un accident.![endif]&gt;![if&gt; Conformément à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Par ailleurs,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S'agissant de la notion d'incapacité de travail, il sied de préciser qu'est également incapable de travailler toute personne qui ne peut exercer son activité qu'en risquant d'aggraver son état de santé (Ulrich MEYER/ Marc REICHMUTH, Rechtsprechung des Bundesgerichts zum IVG, 4ème éd. 2022, n. 3 ad art. 4 LAI et les références).</w:t>
      </w:r>
    </w:p>
    <w:p>
      <w:r>
        <w:rPr>
          <w:b/>
        </w:rPr>
        <w:t>E. 3.2</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![endif]&gt;![if&gt; L’art. 28 al. 2 LAI, dans sa version, applicable en l'occurrence, en vigueur jusqu'au 31 décembre 2021, prévoit que l’assuré a droit à une rente entière s’il est invalide à 70% au moins, à un trois-quarts de rente s'il est invalide à 60% au moins, à une demi-rente s’il est invalide à 50% au moins, ou à un quart de rente s’il est invalide à 40% au moins. Selon l’art. 29 al. 3 LAI, la rente est versée dès le début du mois au cours duquel le droit prend naissance. Selon la jurisprudence constante, seule l'incapacité de travail a de l'importance pour le délai d'attente. Il faut entendre par là - en tout cas dans le cadre de l'art. 29 al. 1 LAI - la perte de capacité fonctionnelle dans la profession ou le domaine de tâches exercé jusqu'alors, due à l'atteinte à la santé, tandis que les conséquences financières d'une telle perte sont en principe sans importance pour son évaluation pendant le délai d'attente (ATF 105 V 156 consid. 2.a ; 97 V 231 consid. 2 ; Michel VALTERIO, Commentaire de la Loi fédérale sur l’assurance-invalidité [LAI], 2018, n. 9 ad art. 28 LAI). L'incapacité de travail au sens de l'art. 28 al. 1 let. b LAI correspond donc, chez les personnes qui exercent une activité lucrative, aux empêchement médicalement constatés dans la profession ou l'activité qu'elles exerçaient jusqu'alors (ATF 130 V 97 consid. 3.2 ; voir aussi l'arrêt du Tribunal fédéral 8C_174/2013 , 8C_178/2013 du 21 octobre 2013, consid. 3.1) et chez celles qui n'exercent pas, à la diminution – attestée médicalement – du rendement fonctionnel dans l'accomplissement des travaux habituels (ATF 130 V 97 consid. 3.3). Cela étant, la jurisprudence a précisé que la diminution sensible du rendement ne doit pas nécessairement coïncider avec la cessation ou la réduction de l'activité. Il se peut en effet que l'assuré puisse, malgré une contre-indication médicale, continuer à travailler grâce à des aménagements du poste de travail (arrêt du Tribunal fédéral des assurances I 238/05 du 2 novembre 2005 consid. 2.2). Le délai d'attente pourra en revanche commencer lorsque l'assuré continue de travailler au-delà de ce qui est raisonnablement exigible, c'est-à-dire au risque d'aggraver son état de santé (arrêt du Tribunal fédéral 8C_724/2011 du 24 juillet 2012 consid. 4.3 ; VALTERIO, op. cit., n. 9 ad art. 28 LAI). En outre, s'il y a incapacité de travail, le délai d'attente peut également commencer à courir lorsque l'assuré se trouve notamment au bénéfice d'un salaire social (arrêt du Tribunal fédéral 9C_685/2008 du 26 novembre 2008 consid. 2.2.1). Il peut en aller de même lorsque l'employeur continue à verser le salaire (arrêt du Tribunal fédéral 9C_395/2014 du 2 septembre 2014 consid. 4.3 ; VALTERIO, op. cit., n. 11 ad art. 28 LAI). Selon l'art. 29 ter RAI, il y a interruption notable de l'incapacité de travail au sens de l'art. 28 al. 1 let. b LAI lorsque l'assuré a été entièrement apte au travail pendant 30 jours consécutifs au moins. Par contre, le délai ne sera pas interrompu lorsque l'activité exercée met manifestement à trop lourde contribution les forces de l'assuré (Recueil officiel des arrêts du Tribunal fédéral des assurances 1963 p. 260 consid. 3 p. 293 ; VALTERIO, op. cit., n. 15 ad art. 28 LAI). 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3.5</w:t>
      </w:r>
    </w:p>
    <w:p>
      <w:r>
        <w:t>De jurisprudence constante, le juge apprécie en règle générale la légalité des décisions entreprises d'après l'état de fait existant au moment où la décision litigieuse a été rendue (ATF 144 V 210 consid. 4.3.1 ; ATF 132 V 215 consid. 3.1.1).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4.2).![endif]&gt;![if&gt;</w:t>
      </w:r>
    </w:p>
    <w:p>
      <w:r>
        <w:rPr>
          <w:b/>
        </w:rPr>
        <w:t>E. 4</w:t>
      </w:r>
    </w:p>
    <w:p>
      <w:r>
        <w:t>En l'espèce, l'intimé estime que l'incapacité de travail du recourant n'a duré qu'entre les mois de décembre 2020 et juin 2021, soit moins d’une année, de sorte que les conditions permettant l’octroi d’une rente ne seraient pas remplies. Par ailleurs, il considère que, s'il y a eu une potentielle aggravation, celle-ci est intervenue postérieurement à la décision litigieuse et qu'en conséquence la demande de prestations du recourant est prématurée.![endif]&gt;![if&gt; Le recourant se réfère, quant à lui, aux avis de ses médecins traitants, les Drs E______, D______ et C______, pour faire valoir que son état de santé s'est fortement aggravé. Il ressort du dossier que le recourant présente des cervico-brachialgies, pour lesquelles il est suivi depuis 2014 et a été opéré en 2019 par le Dr C______ avec pose de cage C5-C6 et C6-C7 (cf. rapport du 15 avril 2021 du Dr I______, rapports des 30 avril et 2 août 2021 du Dr D______, rapport du 17 mai 2021 du Dr E______). En raison de ces cervico-brachialgies – qui le faisaient à nouveau souffrir depuis 2020 –, le recourant s'est soumis, entre avril et mai 2021, à plusieurs examens cervicaux (clinique, ENMG et IRM), lesquels montrent des signes de canal carpien modéré (sans aggravation depuis 2014 ; cf. rapport du 15 avril 2021 du Dr I______) mais surtout une accentuation de la compression située en C4-C5, avec compression plus marquée des racines C5 droites (cf. rapport du 15 avril 2021 du Dr I______, rapports des 18 mai et 2 août 2021 du Dr D______). En outre, depuis 2020, le recourant souffre de lombalgies (rapport du 30 avril 2021 du Dr D______ et rapport du 17 mai 2021 du Dr E______). Une première IRM lombaire réalisée le 13 avril 2021 met en évidence une sténose canalaire sévère en L3-L4, « de score Schizas C » et d’étiologie mixte (débord discale, arthrose postérieure et lipomatose épidurale), ainsi qu'une sténose foraminale sévère en L4-L5 bilatérale, possiblement conflictuelle avec les racines L4 (cf. rapport du 13 avril 2021 du Dr J______). Le 31 mars 2022, le recourant a passé une nouvelle IRM lombaire, laquelle met en évidence une sténose foraminale significative, « grade C selon Schizas », en L3-L4 et L4-L5 mais également une sténose foraminale significative en L5-S1 bilatérale pouvant être à l'origine d'une irritation à l'émergence de L5, ainsi que de l'arthrose facettaire postérieure pluri-étagée avec une discrète poussée congestive en L4-L5 bilatérale (cf. rapport du 31 mars 2022 du Dr G______). Le 4 avril 2022, le recourant a bénéficié d'une infiltration lombaire en L4-L5 (cf. rapport du 4 avril 2022 du Dr H______). En mai 2022, le Dr C______ relevait que le recourant se plaignait d'une symptomatologie lombaire, irradiant dans les deux membres inférieurs, surtout à droite, accentuée par la mise en charge et certains mouvements (tels que celui de se redresser à partir d’une flexion) et que si la position assise était plutôt bien tolérée, le recourant déplorait également des troubles de la sensibilité de la cuisse droite et des douleurs irradiant dans l’aine. Selon ce neurologue, ces atteintes avaient un impact majeur sur la capacité de travail. En outre, se référant à l'IRM du 31 mars 2022 (mettant en évidence une sténose sévère L4-L5, une sténose plus discrète L3-L4 et une sténose des récessis L5-S1), il proposait de réaliser une laminectomie décompressive. Il estimait que « ces éléments » devaient conduire l'intimé à reconsidérer sa décision de refus de prestations (cf. rapport du 11 mai 2022). Il retenait les diagnostics, avec effets sur la capacité de travail, de canal lombaire étroit et de parésie C7 persistante à droite – le recourant n'ayant jamais vraiment récupéré après son opération de 2019 – et de lombosciatalgies en relation avec un canal lombaire étroit sévère. Il estimait que la capacité de travail était nulle dans sa profession antérieure mais qu'elle serait de trois à quatre heures de travail par jour dans une activité adaptée aux limitations fonctionnelles, qui concernaient les travaux avec les bras au-dessus des épaules, ainsi que les travaux debout et les piétinements sur place (cf. rapport du 19 mai 2022). Selon le Dr E______, en juillet 2021, la capacité de travail du recourant était de 50% dans son activité habituelle et de 100% dans une activité adaptée (cf. questionnaire rempli le 7 juillet 2021). En 2022, ce médecin retenait des atteintes articulaires dégénératives (de type arthrose) et sévères, qui se cumulaient et s'aggravaient, au niveau de la nuque, des lombaires et de l'épaule droite, résultant notamment d'une usure dans le contexte de l'exercice d'un métier manuel avec port de charges lourdes, mouvements répétitifs et usage des bras en l'air. Il mentionne que malgré les mises en garde de ses médecins (les Drs C______, D______ et lui-même), le recourant a voulu reprendre son emploi. Par ailleurs, le Dr E______ considérait que l'atteinte lombaire résultait des mêmes causes que l'atteinte cervicale qui avait motivé le recourant à déposer sa demande AI (cf. rapport du 27 septembre 2022 du Dr E______). En mai 2021, le Dr D______ relevait, en comparant l'IRM cervicale réalisée entre avril et mai 2021 aux examens réalisés antérieurement, une accentuation de la compression située en relation avec le segment C4-C5 avec une compression plus marquée qu'en 2019 de la racine C5 droite. Il estimait que la poursuite de son activité professionnelle, physiquement exigeante, était à risque dans le contexte d'une décompression étagée de la situation au niveau cervical ou d'une aggravation de la problématique lombaire (cf. rapport du 18 mai 2021). En août 2021, ce neurologue mentionnait que le recourant présentait des cervico-brachialgies persistantes depuis 2020 et toujours présentes en 2021, se caractérisant par des douleurs et des paresthésies du membre supérieur droit. Il estimait que les examens réalisés en 2021 avaient confirmé une aggravation de la cervico-discarthrose située en C4-C5 avec compression plus marquée des racines C5 droites. En tenant uniquement compte de la pathologie cervicale, il réitérait les risques d'aggravation de l'état de santé sans adaptation professionnelle, relevant que s'ajoutaient en plus des cervico-brachialgies, des lombalgies. Selon le Dr D______, il fallait envisager, pour autant qu'il n'y ait pas d'aggravation de la situation au niveau cervical, un reclassement professionnel dans une activité dépourvue totalement de port de charges et évitant le maintien prolongé d'une position. Si la situation s'aggravait, il estimait que la possibilité d'une rente devrait même être envisagée. Interrogé par la chambre de céans en 2023, le Dr D______ a rappelé qu'il suivait depuis longtemps le recourant dans le contexte des cervico-brachialgies et que cette situation nécessitait de longue date une adaptation de l'activité professionnelle, en raison des risques d'aggravation, voire de décompensation aiguë, liés au port de charges et aux mouvements répétés. Il estimait que le recourant avait toujours été extrêmement volontaire et avait souhaité poursuivre son activité malgré les déficits et les risques discutés. Il estimait que la survenance des problèmes lombaires ne faisait que renforcer sa conviction. Il n'avait jamais rédigé personnellement d'arrêt de travail en faveur du recourant, lequel était, selon lui, victime de son volontarisme mais il considérait que chez un patient normal, un arrêt de travail à 100% dans l'activité exigeante physiquement de concierge/jardinier aurait déjà été rédigé de longue date. Quant au SMR, il s'est référé en particulier au rapport du 19 mai 2022 du Dr C______ pour retenir que la capacité de travail dans une activité adaptée est de 50% dès le 27 mars 2021, puis de 100% dès le 1 er juillet 2021 et que, en raison d'une aggravation de l'état de santé du recourant objectivée lors de l'IRM lombaire du 31 mars 2022, elle est d'au maximum 50% dès cette date. Selon le SMR, l'activité adaptée doit respecter les limitations fonctionnelles d'épargne du rachis cervical, lombaire et de l'épaule droite et l'activité de concierge/jardinier n'est plus exigible si elle ne respecte pas ces limitations.</w:t>
      </w:r>
    </w:p>
    <w:p>
      <w:r>
        <w:rPr>
          <w:b/>
        </w:rPr>
        <w:t>E. 4.1</w:t>
      </w:r>
    </w:p>
    <w:p>
      <w:r>
        <w:t>La chambre de céans constate d'abord que si le SMR retient dans une activité adaptée une capacité de travail de 50% dès le 27 mars 2021, de 100% dès le 1 er juillet 2021 et de 50% maximum dès le 31 mars 2022, il indique ne pas pouvoir se prononcer sur la capacité de travail dans l'activité habituelle du recourant, ne connaissant pas avec précision la répartition du cahier des charges du poste de travail. ![endif]&gt;![if&gt; Or, le Dr E______ estimait déjà en juillet 2021 que le recourant présentait des limitations fonctionnelles du type port de charges, mouvements répétitifs, travail avec les bras en l’air et que la capacité de travail était de 50% seulement dans l'activité habituelle. En outre, interrogé par la chambre de céans sur la capacité de travail du recourant dans son activité habituelle de concierge/jardinier durant la période du 1 er janvier 2021 au 31 mars 2022, le Dr D______ a expliqué qu'il n'avait personnellement jamais rédigé d'arrêt de travail mais qu'il estimait que le recourant était victime de son volontarisme et que chez un patient normal, un arrêt de travail à 100% dans l'activité exigeante physiquement de concierge/jardinier aurait déjà été rédigé de longue date. La position de ces deux médecins est parfaitement crédible, ce d'autant plus que, selon les renseignements transmis par l'employeuse, l'activité habituelle du recourant nécessite une grande endurance et comporte notamment des tâches d'entretien du jardin extérieur, de marche et de station debout, de port de charges légères à lourdes, d'entretien et de réparation des machines, d'assistance des propriétaires et locataires, de passage de l'aspirateur et nettoyage en montées et de balayage des garages et parking. Cette activité ne respectait dès lors plus les limitations fonctionnelles du recourant déjà présentes en 2021. Par ailleurs, bien que le recourant ait officiellement repris son poste de travail à 100% dès juillet 2021 auprès de son employeuse, il explique à plusieurs reprises avoir dû insister auprès de ses médecins pour reprendre le travail, par peur de perdre son emploi, mais ne plus honorer tout son cahier des charges en raison de ses atteintes. Quoi qu'il en soit, il sied de rappeler qu'est également incapable de travailler au sens de l'art. 4 LAI, toute personne qui ne peut exercer son activité qu'en risquant d'aggraver son état de santé (cf. supra consid. 3.1). Or, force est de constater que l'état de santé du recourant s'est encore aggravé, ce qui vient confirmer la position des médecins traitants, en particulier du Dr D______, qui a répété à plusieurs reprises que la poursuite d'une activité professionnelle, physiquement exigeante comme l'activité habituelle du recourant, était à risque d'une aggravation des problèmes cervicaux et/ou lombaires. D'ailleurs, les Drs C______ et E______, de même que le SMR, retiennent tous une aggravation de l'état de santé du recourant qui serait intervenue antérieurement à la décision litigieuse du 2 mai 2022. Le SMR a estimé que cette aggravation est objectivée par l'IRM du 31 mars 2022. Cette IRM met effectivement en évidence une nouvelle atteinte lombaire en L5-S1 qui n'apparaissait pas à l'IRM du 13 avril 2021 et en raison de laquelle, d'ailleurs, une infiltration a été effectuée le 4 avril 2022. Certes, les derniers rapports des médecins traitants, faisant notamment état de cette aggravation (cf. rapports des 11 et 19 mai 2022 du Dr C______ et du 27 septembre 2022 du Dr E______) ont été établis postérieurement à la décision entreprise, cela étant ils se réfèrent au même état de santé révélé par l'IRM du 31 mars 2022. Il convient ainsi également de reconnaître qu'une aggravation, avec des conséquences sur la capacité de travail du recourant, est bien intervenue avant que l'intimé ne rende sa décision du 2 mai 2022. Au vu de tous ces éléments et des atteintes attestées par les médecins traitants et reconnues par le SMR, il apparaît, au degré de la vraisemblance prépondérante, que depuis le début de son incapacité de travail en décembre 2020, le recourant n'a jamais récupéré une pleine capacité de travail dans son activité habituelle de concierge/jardinier. Tout au plus, a-t-il recouvert une capacité de travail de 50% maximum dans son activité habituelle. Il sied dès lors de retenir que depuis décembre 2020, la capacité de travail dans l'activité habituelle n'a jamais été supérieure à 50% et ce jusqu'à l'aggravation de l'état de santé du recourant, laquelle, selon le SMR, a causé une incapacité totale de travailler dans l'activité habituelle. Dès lors, la condition d'incapacité de travail de 40% au minimum en moyenne durant le délai d'attente d'une année était remplie et l'intimé ne pouvait pas rejeter la demande du recourant sur cette base. Le fait que le recourant ait repris son poste de travail à 100% dès juillet 2021 et continué à percevoir son salaire n'a, à ce stade, pas d'importance. Cependant, il convient de rappeler qu'il occupait ce poste auprès de la même employeuse depuis plus de 20 ans et que plusieurs éléments au dossier tendent à dire qu'il ne remplissait vraisemblablement plus tout son cahier des charges de concierge/jardinier. Aussi pourrait-on se poser la question d'un éventuel salaire social, que l'intimé devra instruire auprès de l'employeuse.</w:t>
      </w:r>
    </w:p>
    <w:p>
      <w:r>
        <w:rPr>
          <w:b/>
        </w:rPr>
        <w:t>E. 5</w:t>
      </w:r>
    </w:p>
    <w:p>
      <w:r>
        <w:t>Partant, la décision querellée sera annulée et la cause renvoyée à l'intimé pour instruction complémentaire et nouvelle décision, dans le sens des considérants.![endif]&gt;![if&gt; L'assuré n’étant pas représenté, aucune indemnité ne lui sera accordée à titre de participation à ses frais et dépens (art. 61 let. g LPGA ; art. 6 du règlement sur les frais, émoluments et indemnités en matière administrative du 30 juillet 1986 [RFPA - E 5 10.03]). La procédure de recours en matière de contestation portant sur l'octroi ou le refus de prestations de l'assurance-invalidité étant soumise à des frais de justice, un émolument de CHF 200.- est mis à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