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A/1532/2022 vom 12. September 2023</w:t>
      </w:r>
    </w:p>
    <w:p>
      <w:r>
        <w:t>GE Cour de justice, 2023-09-12, FR</w:t>
      </w:r>
    </w:p>
    <w:p>
      <w:r>
        <w:rPr>
          <w:b/>
        </w:rPr>
        <w:t xml:space="preserve">Quelle: </w:t>
      </w:r>
      <w:r>
        <w:t>https://mcp.opencaselaw.ch/entscheid/ge_gerichte_A_1532_2022</w:t>
      </w:r>
    </w:p>
    <w:p>
      <w:r>
        <w:t>FR: GE_GERICHTE A/1532/2022 du 12 septembre 2023</w:t>
      </w:r>
    </w:p>
    <w:p>
      <w:r>
        <w:t>IT: GE_GERICHTE A/1532/2022 del 12 settembre 2023</w:t>
      </w:r>
    </w:p>
    <w:p>
      <w:pPr>
        <w:pStyle w:val="Heading2"/>
      </w:pPr>
      <w:r>
        <w:t>Regeste</w:t>
      </w:r>
    </w:p>
    <w:p>
      <w:r>
        <w:t>AMÉNAGEMENT DU TERRITOIRE ET DROIT PUBLIC DES CONSTRUCTIONS;CONSTRUCTION ET INSTALLATION;PERMIS DE CONSTRUIRE;ANTENNE;INSTALLATION DE TÉLÉCOMMUNICATION;PESÉE DES INTÉRÊTS;OBLIGATION DE CONSTITUER UN DOSSIER;CONSULTATION DU DOSSIER;COORDINATION(AMÉNAGEMENT DU TERRITOIRE OU ENVIRONNEMENT) | Recours déposé par les habitants d’un immeuble voisin de celui sur lequel l’autorisation de poser une nouvelle antenne 5G a été délivrée. Pour l’essentiel, les griefs des recourants sont en lien avec la tenue du dossier administratif qui contient notamment des pièces étrangères à la procédure. Ces arguments ne sont toutefois pas suffisants pour annuler l’autorisation de construire. Recours rejeté. | Cst.29.al1; Cst.29.al2; LPA.12A; LCI.3.al2; RCI.9.al2.letl; RCI.9.al2.letk</w:t>
      </w:r>
    </w:p>
    <w:p>
      <w:pPr>
        <w:pStyle w:val="Heading2"/>
      </w:pPr>
      <w:r>
        <w:t>Erwägungen</w:t>
      </w:r>
    </w:p>
    <w:p>
      <w:r>
        <w:rPr>
          <w:b/>
        </w:rPr>
        <w:t>E. 3</w:t>
      </w:r>
    </w:p>
    <w:p>
      <w:r>
        <w:t>Les recourants soulèvent le grief d’une violation de l’art. 9 al. 2 RCI, en particulier des let. k et l. Ils relèvent que le dossier ne contiendrait ni un plan reproduisant la façade est, ni un plan de coupe. Des données nécessaires à la compréhension des calculs réalisés par l’intimée manqueraient également de sorte qu’il y aurait matière à s’interroger sur l’attribution de la valeur d’amortissement la plus élevée autorisée à l’immeuble puisqu’il semblait que la toiture présenterait une épaisseur et une qualité inférieure à la moyenne.![endif]&gt;![if&gt;</w:t>
      </w:r>
    </w:p>
    <w:p>
      <w:r>
        <w:rPr>
          <w:b/>
        </w:rPr>
        <w:t>E. 3.1</w:t>
      </w:r>
    </w:p>
    <w:p>
      <w:r>
        <w:t>Selon l’art. 9 al. 1 RCI, la demande définitive doit être adressée au département sur formule officielle, en 10 exemplaires. Dans le but d'accélérer l'instruction d'une demande impliquant le recueil de nombreux préavis ou en fonction de l'importance de l'objet, le département peut solliciter un nombre inférieur ou supérieur d'exemplaires.![endif]&gt;![if&gt; L’art. 9 al. 2 RCI prévoit qu’il y a lieu de joindre notamment les plans et documents suivants : les coupes nécessaires à la compréhension du projet de construction. Ces coupes doivent être cotées, notamment en ce qui concerne la hauteur du gabarit entre le niveau du sol adjacent naturel et le niveau supérieur de la dalle de couverture, tant sur rue que sur cour, les vides d’étages et les saillies (10 ex.) (let. k) ; une élévation cotée de toutes les façades avec indication des parties ouvrantes. Les façades sur rue doivent toujours porter les cotes de hauteur au-dessus du niveau de la rue. Pour les villas et bâtiments ruraux, le terrain naturel doit être indiqué sur chaque façade et sur la coupe (10 ex.). Des photographies de l’état antérieur aux travaux, avec l’indication des constructions et aménagements projetés, ainsi que des photographies des bâtiments voisins, avec l’indication de la construction projetée, peuvent être exigées. Le département peut également exiger, selon l’importance du projet, la réalisation d’une maquette (let. l).</w:t>
      </w:r>
    </w:p>
    <w:p>
      <w:r>
        <w:rPr>
          <w:b/>
        </w:rPr>
        <w:t>E. 3.2</w:t>
      </w:r>
    </w:p>
    <w:p>
      <w:r>
        <w:t>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ATA/246/2016 du 15 mars 2016 consid. 7a et les références citées).![endif]&gt;![if&gt;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 ATA/246/2016 précité consid. 7b).</w:t>
      </w:r>
    </w:p>
    <w:p>
      <w:r>
        <w:rPr>
          <w:b/>
        </w:rPr>
        <w:t>E. 3.3</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3.1).![endif]&gt;![if&gt;</w:t>
      </w:r>
    </w:p>
    <w:p>
      <w:r>
        <w:rPr>
          <w:b/>
        </w:rPr>
        <w:t>E. 3.4</w:t>
      </w:r>
    </w:p>
    <w:p>
      <w:r>
        <w:t>En l'espèce, le dossier contient un extrait du plan de base, un extrait du plan cadastral, le plan de la toiture et les plans des façades nord et ouest. Si ces documents et indications ne sauraient satisfaire formellement aux exigences posées par l’art. 9 al. 2 let. l et k RCI, ils ont suffi au département pour analyser le projet et son impact. Du reste, une seule des instances consultées a sollicité la production d’un document complémentaire à ceux déposés avec la demande d’autorisation, à savoir la DAC qui, avant de délivrer son préavis positif, a demandé une élévation du projet. Pour ce qui concerne la composition et l’épaisseur du toit, les recourants renvoient au courrier d’opposition de l’habitant du chemin G______. Il apparaît que les remarques formulées par cet habitant ont été prises en compte, l’OAC lui ayant répondu avoir procédé à un examen attentif de ses observations. Pour le reste, les recourants se contentent de s’interroger sur la valeur d’amortissement retenue sans apporter le moindre élément qui permettrait de remettre en cause le travail effectué par les instances spécialisées. Ce grief sera dès lors écarté.</w:t>
      </w:r>
    </w:p>
    <w:p>
      <w:r>
        <w:rPr>
          <w:b/>
        </w:rPr>
        <w:t>E. 4</w:t>
      </w:r>
    </w:p>
    <w:p>
      <w:r>
        <w:t>Les recourants soulèvent ensuite le grief d’une violation du principe de coordination.![endif]&gt;![if&gt;</w:t>
      </w:r>
    </w:p>
    <w:p>
      <w:r>
        <w:rPr>
          <w:b/>
        </w:rPr>
        <w:t>E. 4.1</w:t>
      </w:r>
    </w:p>
    <w:p>
      <w:r>
        <w:t>Le principe de coordination formelle et matérielle est ancré à l'art. 25a de la loi fédérale sur l’aménagement du territoire du 22 juin 1979 (LAT - RS 700).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Le principe de la coordination est également applicable lorsque plusieurs décisions émanent d'une même autorité (arrêts du Tribunal 1C_536/2019 et 1C_537/2019 du 16 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citées).![endif]&gt;![if&gt; Le principe de coordination est également prévu en droit cantonal à l'art. 12A LPA, lequel rappelle le principe général selon lequel les procédures doivent être coordonnées lorsque plusieurs législations ayant entre elles un lien matériel étroit sont applicables à un projet. L’art. 3A LCI le prévoit aussi.</w:t>
      </w:r>
    </w:p>
    <w:p>
      <w:r>
        <w:rPr>
          <w:b/>
        </w:rPr>
        <w:t>E. 4.2</w:t>
      </w:r>
    </w:p>
    <w:p>
      <w:r>
        <w:t>Dans le cas d’espèce, la démolition de l’antenne GE 4______-1 n’est pas nécessaire à l’installation des antennes en cause, celle-ci étant installée sur un autre toit. Pour le reste, il n’est pas question que les deux installations fonctionnent en même temps dès lors que, comme cela ressort du préavis du SABRA qui fait partie intégrante de l’autorisation de construire, une attestation du démontage du site GE2______-1 devra être déposée à la fermeture du chantier. Il en découle que, à supposer qu’une autorisation de démolir soit nécessaire, la demande pourra être déposée ultérieurement.![endif]&gt;![if&gt; Ce grief sera écarté.</w:t>
      </w:r>
    </w:p>
    <w:p>
      <w:r>
        <w:rPr>
          <w:b/>
        </w:rPr>
        <w:t>E. 5</w:t>
      </w:r>
    </w:p>
    <w:p>
      <w:r>
        <w:t>Les recourants soulèvent enfin les griefs de violation du principe de l’interdiction de l’arbitraire et de l’excès négatif du pouvoir d’appréciation. Selon eux, au-delà des griefs déjà soulevés, la décision querellée irait dans son résultat encore plus loin dans l’arbitraire en s’inscrivant en contradiction avec la réalité. Elle intégrait des plans sans lien avec elle, ce qui aurait pour conséquence, en contradiction avec l’état de fait, d’imposer à l’installation en cause d’être conforme à celle planifiée à la rue de la H______ ______-______. Le département n’aurait au surplus pas examiné les documents relatifs au projet en lien avec la rue H______ qui faisaient pourtant partie intégrante de la décision litigieuse. Ce faisant, l’autorité aurait émis une décision en ignorant une part importante de sa portée matérielle et commis en conséquence un excès négatif de son pouvoir d’appréciation. Le département se serait par ailleurs muré dans une solution schématique en refusant de faire usage de son pouvoir d’appréciation s’agissant de la toiture de l’immeuble.![endif]&gt;![if&gt;</w:t>
      </w:r>
    </w:p>
    <w:p>
      <w:r>
        <w:rPr>
          <w:b/>
        </w:rPr>
        <w:t>E. 5.1</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 ; 1C_734/2021 du 26 janvier 2023 consid. 4.1).![endif]&gt;![if&gt;</w:t>
      </w:r>
    </w:p>
    <w:p>
      <w:r>
        <w:rPr>
          <w:b/>
        </w:rPr>
        <w:t>E. 5.2</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 ATA/926/2021 du 7 septembre 2021 consid. 6b ; Thierry TANQUEREL, Manuel de droit administratif, 2 e éd., 2018, n. 514). ![endif]&gt;![if&gt;</w:t>
      </w:r>
    </w:p>
    <w:p>
      <w:r>
        <w:rPr>
          <w:b/>
        </w:rPr>
        <w:t>E. 5.3</w:t>
      </w:r>
    </w:p>
    <w:p>
      <w:r>
        <w:t>En l’espèce, comme cela a déjà été relevé précédemment, il est regrettable que des documents étrangers à la procédure litigieuse figurent dans le dossier. Il est également fâcheux que des plans sans lien avec l’autorisation contestée lui soient annexés. Cela étant, il s’agit à l’évidence d’une erreur, toutes les pièces utiles et nécessaires se trouvant quoi qu’il en soit dans le dossier ou étant annexées à la décision en cause. Il y a ainsi lieu de renoncer, par économie de procédure et pour éviter tout formalisme excessif, à demander au département de rendre une autre décision car, même si la nouvelle décision se voyait amputée des annexes qui ne concernent pas le projet litigieux, le résultat serait à l’évidence le même. Rien dans le dossier ne permet de retenir que l’autorité n’aurait pas correctement pris en compte les pièces utiles à la présente procédure. L’autorité intimée a suivi les préavis des instances spécialisées et aucun motif ne conduit à retenir qu’elle aurait dû s’en écarter.![endif]&gt;![if&gt; Les griefs de violation du pouvoir d’appréciation et de l’arbitraire seront écartés, la décision litigieuse étant, comme cela a pour le reste été examiné, conforme au droit. Ces derniers griefs seront en conséquence également écartés. Entièrement mal fondé, le recours sera rejeté.</w:t>
      </w:r>
    </w:p>
    <w:p>
      <w:r>
        <w:rPr>
          <w:b/>
        </w:rPr>
        <w:t>E. 6</w:t>
      </w:r>
    </w:p>
    <w:p>
      <w:r>
        <w:t>Vu l’issue du litige, un émolument de CHF 1'500.- sera mis à la charge solidaire des recourants (art. 87 al. 1 LPA). Une indemnité de procédure de CHF 1'500.- sera allouée à la société intimée, qui y a conclu,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