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A/1529/2002 vom 18. März 2004</w:t>
      </w:r>
    </w:p>
    <w:p>
      <w:r>
        <w:t>GE Cour de justice, 2004-03-18, FR</w:t>
      </w:r>
    </w:p>
    <w:p>
      <w:r>
        <w:rPr>
          <w:b/>
        </w:rPr>
        <w:t xml:space="preserve">Quelle: </w:t>
      </w:r>
      <w:r>
        <w:t>https://mcp.opencaselaw.ch/entscheid/ge_gerichte_A_1529_2002</w:t>
      </w:r>
    </w:p>
    <w:p>
      <w:r>
        <w:t>FR: GE_GERICHTE A/1529/2002 du 18 mars 2004</w:t>
      </w:r>
    </w:p>
    <w:p>
      <w:r>
        <w:t>IT: GE_GERICHTE A/1529/2002 del 18 marzo 2004</w:t>
      </w:r>
    </w:p>
    <w:p>
      <w:pPr>
        <w:pStyle w:val="Heading2"/>
      </w:pPr>
      <w:r>
        <w:t>Erwägungen</w:t>
      </w:r>
    </w:p>
    <w:p>
      <w:r>
        <w:rPr>
          <w:b/>
        </w:rPr>
        <w:t>E. 4</w:t>
      </w:r>
    </w:p>
    <w:p>
      <w:r>
        <w:t>Par courrier du 7 novembre 2002, l’épouse de l’assuré a interjeté recours contre cette décision. Elle fait valoir que l’état de santé de son mari s’est considérablement détérioré, plus particulièrement au cours de l’année 2000 : depuis lors, il est alité de façon permanente. Elle invoque à l’appui de ses dires un rapport médical du Dr B__________, qui conclut à une impotence grave, et joint à son recours une nouvelle attestation médicale du médecin qui certifie que l’état du patient nécessite des soins permanents ainsi qu’une surveillance personnelle. La recourante explique qu’elle est épuisée et fatiguée par des années de présence et de surveillance constantes. Elle propose qu’une seconde évaluation soit effectuée par la policlinique de gériatrie. Ce recours, adressé à l’OCAI, a été transmis par ce dernier à la Commission cantonale de recours en matière d’assurance-vieillesse comme objet de sa compétence.</w:t>
      </w:r>
    </w:p>
    <w:p>
      <w:r>
        <w:rPr>
          <w:b/>
        </w:rPr>
        <w:t>E. 5</w:t>
      </w:r>
    </w:p>
    <w:p>
      <w:r>
        <w:t>Invité à se prononcer, l’OCAI, dans son préavis du 22 janvier 2003, a conclu au rejet du recours et s’en est remis à l’appréciation du Tribunal s’agissant de la question de la recevabilité. L’autorité intimée souligne que le recours a été interjeté en date du 7 novembre 2002 alors que la décision attaquée date du 1 er octobre 2002. Quant au fond, elle rappelle qu’une demande en révision doit établir de manière plausible que l’impotence de l’assuré s’est modifiée de manière à influencer ses droits. L’OCAI estime que le Dr B__________ ne pose aucun diagnostic nouveau susceptible d’engendrer une révision substantielle du degré d’impotence retenu en faveur de l’assuré et relève que, pour ce qui concerne la surveillance personnelle, il est signalé dans la demande du 22 février 2002 qu’elle n’a pas varié dans sa nature par rapport à janvier 2000. Certes, l’assuré rencontre des difficultés supplémentaires dans l’accomplissement des actes ordinaires de la vie, mais dans une mesure qui n’est pas de nature à influencer ses droits.</w:t>
      </w:r>
    </w:p>
    <w:p>
      <w:r>
        <w:rPr>
          <w:b/>
        </w:rPr>
        <w:t>E. 6</w:t>
      </w:r>
    </w:p>
    <w:p>
      <w:r>
        <w:t>En l'espèce, il y a lieu de relever que lors du dépôt de la demande initiale déjà, l’assuré ne pouvait pas se vêtir, faire sa toilette ou se déplacer seul. Désormais, il ne peut plus non plus se lever, couper ses aliments ou aller aux toilettes sans l’aide de son épouse (pièces 7 et 9, fourre 2 OCAI). Force est donc de constater que l’assuré ne peut plus désormais accomplir seul les 6 actes ordinaires de la vie énumérés par la jurisprudence. Quant à l’exigence supplémentaire d’une surveillance personnelle, elle est également réalisée, contrairement à l’opinion exprimée de manière pour le moins lapidaire par le médecin-conseil de l’office. Il ressort en effet du dossier et des documents médicaux que l’assuré a besoin d’une surveillance constante sous risque de chuter. Qui plus est, on a vu qu’il ne peut désormais accomplir seul aucun des actes ordinaires pris en considération. On ne saurait déduire du fait que le diagnostic posé demeure le même qu’aucune aggravation de l’état de santé n’est intervenue alors même que le questionnaire rempli par l’assuré et son médecin démontre le contraire. Si l’assuré indique que l’aggravation de son état n’a pas eu d’influence sur la surveillance dont il a besoin, c’est sans doute parce qu’il indiquait en février 2000 devoir bénéficier d’une surveillance jour et nuit, 24 heures sur 24. Dès lors, il paraît compréhensible que l’assuré n’ait pas prétendu qu’elle aurait encore augmenté.</w:t>
      </w:r>
    </w:p>
    <w:p>
      <w:r>
        <w:rPr>
          <w:b/>
        </w:rPr>
        <w:t>E. 7</w:t>
      </w:r>
    </w:p>
    <w:p>
      <w:r>
        <w:t>Des considérations qui précèdent, il ressort que le besoin de surveillance, s’il est demeuré le même que par le passé, est réalisé. Quant aux six actes ordinaires de la vie répertoriés dans la jurisprudence, il apparaît qu’ils ne peuvent plus être effectués par l’assuré seul. Dès lors, il se justifie d’admettre le recours et d’annuler la décision attaquée.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