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A/1519/2022 vom 7. Februar 2023</w:t>
      </w:r>
    </w:p>
    <w:p>
      <w:r>
        <w:t>GE Cour de justice, 2023-02-07, FR</w:t>
      </w:r>
    </w:p>
    <w:p>
      <w:r>
        <w:rPr>
          <w:b/>
        </w:rPr>
        <w:t xml:space="preserve">Quelle: </w:t>
      </w:r>
      <w:r>
        <w:t>https://mcp.opencaselaw.ch/entscheid/ge_gerichte_A_1519_2022</w:t>
      </w:r>
    </w:p>
    <w:p>
      <w:r>
        <w:t>FR: GE_GERICHTE A/1519/2022 du 7 février 2023</w:t>
      </w:r>
    </w:p>
    <w:p>
      <w:r>
        <w:t>IT: GE_GERICHTE A/1519/2022 del 7 febbraio 2023</w:t>
      </w:r>
    </w:p>
    <w:p>
      <w:pPr>
        <w:pStyle w:val="Heading2"/>
      </w:pPr>
      <w:r>
        <w:t>Erwägungen</w:t>
      </w:r>
    </w:p>
    <w:p>
      <w:r>
        <w:rPr>
          <w:b/>
        </w:rPr>
        <w:t>E. 8</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2.2).![endif]&gt;![if&gt;</w:t>
      </w:r>
    </w:p>
    <w:p>
      <w:r>
        <w:rPr>
          <w:b/>
        </w:rPr>
        <w:t>E. 9</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w:t>
      </w:r>
    </w:p>
    <w:p>
      <w:r>
        <w:rPr>
          <w:b/>
        </w:rPr>
        <w:t>E. 10</w:t>
      </w:r>
    </w:p>
    <w:p>
      <w:r>
        <w:t>En vertu de l’art. 28b LAI, la quotité de la rente est fixée en pourcentage d’une rente entière (al. 1). Pour un taux d’invalidité compris entre 50 et 69 %, la quotité de la rente correspond au taux d’invalidité (al. 2). Pour un taux d’invalidité supérieur ou égal à 70 %, l’assuré a droit à une rente entière (al. 3). Pour un taux d’invalidité inférieur à 50 %, la quotité de la rente est la suivante (al. 4) :![endif]&gt;![if&gt; Taux d’invalidité Quotité de la rente 49 % 47,5 % 48 % 45    % 47 % 42,5 % 46 % 40    % 45 % 37,5 % 44 % 35    % 43 % 32,5 % 42 % 30    % 41 % 27,5 % 40 % 25    %</w:t>
      </w:r>
    </w:p>
    <w:p>
      <w:r>
        <w:rPr>
          <w:b/>
        </w:rPr>
        <w:t>E. 10.1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w:t>
      </w:r>
    </w:p>
    <w:p>
      <w:r>
        <w:rPr>
          <w:b/>
        </w:rPr>
        <w:t>E. 10.2</w:t>
      </w:r>
    </w:p>
    <w:p>
      <w:r>
        <w:t>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1).![endif]&gt;![if&gt;</w:t>
      </w:r>
    </w:p>
    <w:p>
      <w:r>
        <w:rPr>
          <w:b/>
        </w:rPr>
        <w:t>E. 11</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naissance.![endif]&gt;![if&gt;</w:t>
      </w:r>
    </w:p>
    <w:p>
      <w:r>
        <w:rPr>
          <w:b/>
        </w:rPr>
        <w:t>E. 12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ATF 125 V 256 consid. 4 et les références). En outre, les données médicales constituent un élément utile pour déterminer quels travaux on peut encore, raisonnablement, exiger de l’assuré (ATF 125 V 256 consid. 4 et les références).![endif]&gt;![if&gt;</w:t>
      </w:r>
    </w:p>
    <w:p>
      <w:r>
        <w:rPr>
          <w:b/>
        </w:rPr>
        <w:t>E. 12.1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w:t>
      </w:r>
    </w:p>
    <w:p>
      <w:r>
        <w:rPr>
          <w:b/>
        </w:rPr>
        <w:t>E. 12.2</w:t>
      </w:r>
    </w:p>
    <w:p>
      <w:r>
        <w:t>Sans remettre en cause le principe de la libre appréciation des preuves, le Tribunal fédéral des assurances a posé des lignes directrices en ce qui concerne la manière d'apprécier certains types d'expertises ou de rapports médicaux.![endif]&gt;![if&gt;</w:t>
      </w:r>
    </w:p>
    <w:p>
      <w:r>
        <w:rPr>
          <w:b/>
        </w:rPr>
        <w:t>E. 12.2.1</w:t>
      </w:r>
    </w:p>
    <w:p>
      <w:r>
        <w:t>Ainsi,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références).![endif]&gt;![if&gt;</w:t>
      </w:r>
    </w:p>
    <w:p>
      <w:r>
        <w:rPr>
          <w:b/>
        </w:rPr>
        <w:t>E. 12.2.2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![endif]&gt;![if&gt;</w:t>
      </w:r>
    </w:p>
    <w:p>
      <w:r>
        <w:rPr>
          <w:b/>
        </w:rPr>
        <w:t>E. 12.2.3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135 V 39 consid. 6.1 et la référence).![endif]&gt;![if&gt;</w:t>
      </w:r>
    </w:p>
    <w:p>
      <w:r>
        <w:rPr>
          <w:b/>
        </w:rPr>
        <w:t>E. 14</w:t>
      </w:r>
    </w:p>
    <w:p>
      <w:r>
        <w:t>En l'espèce, la décision entreprise repose sur l'avis du SMR du 29 novembre 2021, lui-même basé sur le rapport du médecin traitant du 5 octobre 2021. En l'absence de pièces médicales remettant en cause ce rapport, il y a lieu d'admettre, avec le SMR, que le recourant, en raison d'une transplantation hépatique, est inapte à exercer son activité habituelle d'employé d'entretien depuis le 4 octobre 2018, mais dispose d'une capacité de travail entière dans une activité adaptée sans efforts physiques intenses ou répétés, dès le 5 octobre 2021. L'état de santé du recourant s'est donc amélioré à partir de cette dernière date, ce qui justifie une révision. ![endif]&gt;![if&gt;</w:t>
      </w:r>
    </w:p>
    <w:p>
      <w:r>
        <w:rPr>
          <w:b/>
        </w:rPr>
        <w:t>E. 15</w:t>
      </w:r>
    </w:p>
    <w:p>
      <w:r>
        <w:t>Reste à se prononcer sur le degré d’invalidité du recourant.![endif]&gt;![if&gt;</w:t>
      </w:r>
    </w:p>
    <w:p>
      <w:r>
        <w:rPr>
          <w:b/>
        </w:rPr>
        <w:t>E. 15.1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LPGA).![endif]&gt;![if&gt;</w:t>
      </w:r>
    </w:p>
    <w:p>
      <w:r>
        <w:rPr>
          <w:b/>
        </w:rPr>
        <w:t>E. 15.2</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w:t>
      </w:r>
    </w:p>
    <w:p>
      <w:r>
        <w:rPr>
          <w:b/>
        </w:rPr>
        <w:t>E. 15.3</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![endif]&gt;![if&gt;</w:t>
      </w:r>
    </w:p>
    <w:p>
      <w:r>
        <w:rPr>
          <w:b/>
        </w:rPr>
        <w:t>E. 15.4</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l’Enquête Suisse sur la Structure des Salaires (ci-après: ESS) éditée par l'Office fédéral de la statistique (ci-après: OFS; arrêt du Tribunal fédéral des assurances I.201/06 du 14 juillet 2006 consid. 5.2.3 et I.774/01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I.168/05 du 24 avril 2006 consid. 3.3 et B.80/01 du 17 octobre 2003 consid. 5.2.2). ![endif]&gt;![if&gt;</w:t>
      </w:r>
    </w:p>
    <w:p>
      <w:r>
        <w:rPr>
          <w:b/>
        </w:rPr>
        <w:t>E. 15.5</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![endif]&gt;![if&gt; Les tableaux TA1, T1 et T17 de l'ESS 2020 ont été publiés le 23 août 2022; l’ESS 2018 a été publiée le 21 avril 2020; l’ESS 2016, le 26 octobre 2018 (étant précisé que le tableau T1_tirage_skill_level a été corrigé le 8 novembre 2018) ; et l’ESS 2014, le 15 avril 2016.</w:t>
      </w:r>
    </w:p>
    <w:p>
      <w:r>
        <w:rPr>
          <w:b/>
        </w:rPr>
        <w:t>E. 15.6</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ATF 126 V 75 consid. 5b/aa-cc).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![endif]&gt;![if&gt;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15.7</w:t>
      </w:r>
    </w:p>
    <w:p>
      <w:r>
        <w:t>Depuis la 10 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références).![endif]&gt;![if&gt;</w:t>
      </w:r>
    </w:p>
    <w:p>
      <w:r>
        <w:rPr>
          <w:b/>
        </w:rPr>
        <w:t>E. 16</w:t>
      </w:r>
    </w:p>
    <w:p>
      <w:r>
        <w:t>![endif]&gt;![if&gt;</w:t>
      </w:r>
    </w:p>
    <w:p>
      <w:r>
        <w:rPr>
          <w:b/>
        </w:rPr>
        <w:t>E. 16.1</w:t>
      </w:r>
    </w:p>
    <w:p>
      <w:r>
        <w:t>En l'occurrence, il y a lieu de rappeler que la capacité de travail du recourant, nulle dans toute activité depuis le 4 octobre 2018, est entière dans une activité adaptée dès le 5 octobre 2021 (avis du SMR du 29 novembre 2021, dossier intimé p. 169). Le recourant peut, par exemple, travailler en tant que préposé à l'emballage ou préparateur de commande dans l'industrie, activités très légères à légères selon la note du service de réadaptation de l'OAI du 7 janvier 2022 (dossier intimé p. 172-173). ![endif]&gt;![if&gt; L'incapacité de travail totale dans toute activité du 4 octobre 2018 au 4 octobre 2021 correspond à une invalidité de 100% et donne droit à une rente entière d'invalidité ( ATAS/530/2021 du 1 er juin 2021 consid. 14a).</w:t>
      </w:r>
    </w:p>
    <w:p>
      <w:r>
        <w:rPr>
          <w:b/>
        </w:rPr>
        <w:t>E. 16.2</w:t>
      </w:r>
    </w:p>
    <w:p>
      <w:r>
        <w:t>L'état de santé du recourant s'est ensuite amélioré dès le 5 octobre 2021, date à compter de laquelle il est pleinement apte à exercer une activité adaptée. Dans la mesure où le changement important de la capacité de travail ayant une incidence sur la capacité de gain remonte à octobre 2021, il convient de se placer en 2021 pour procéder à la comparaison des revenus sans et avec invalidité (cf. arrêt du Tribunal fédéral I 95/07 du 15 février 2008 consid. 5). ![endif]&gt;![if&gt;</w:t>
      </w:r>
    </w:p>
    <w:p>
      <w:r>
        <w:rPr>
          <w:b/>
        </w:rPr>
        <w:t>E. 16.2.1</w:t>
      </w:r>
    </w:p>
    <w:p>
      <w:r>
        <w:t>En ce qui concerne le revenu sans invalidité, l'intimé s'est référé aux données statistiques résultant de l'ESS, et a retenu un revenu annuel de CHF 58'246.- (ESS 2018, tableau TA1_tirage_skill_level, niveau 1, ligne 1 [nettoyage], homme, part au 13 ème salaire comprise [soit CHF 4'579.- par mois], ajusté à la durée normale hebdomadaire de travail [41,7] et réactualisé à 2021 selon l’indice suisse des salaires nominaux pour les hommes [ISS]).![endif]&gt;![if&gt; Même si on tenait compte d'un revenu annuel de valide de CHF 58'246.-, supérieur à celui ressortant des indications fournies par l'ancien employeur (questionnaire pour l'employeur signé le 28 avril 2020, pièce intimé p. 117 et 119) soit une rémunération de CHF 24.35 par heure en 2018 (incluant l'indemnité de vacances, celle pour jours fériés, ainsi que le 13 ème salaire) et une durée de travail de 42,5 heures par semaine, ce qui donne un revenu annuel de CHF 54'313.50 en 2021 ([24.35 × 42,5 × 52 semaines de travail = CHF 53'813.50 en 2018 et, réactualisé à 2021 [ISS; en 2018: 2260 et en 2021: 2281] = CHF 54'313.53 [53'813.50 × 2281 / 2260], ce sans avoir même déduits du temps de travail annuel les jours de vacances et de congés [cf. arrêt du Tribunal fédéral 8C_401/2018 du 16 mai 2019 consid. 4.4]) montant plus favorable au recourant , cela ne changerait rien à la solution du litige comme on le verra plus loin.</w:t>
      </w:r>
    </w:p>
    <w:p>
      <w:r>
        <w:rPr>
          <w:b/>
        </w:rPr>
        <w:t>E. 16.2.2</w:t>
      </w:r>
    </w:p>
    <w:p>
      <w:r>
        <w:t>S'agissant du revenu avec invalidité en 2021, dès lors que le recourant n'a pas repris une activité adaptée lui permettant de mettre pleinement en valeur sa capacité de travail résiduelle, le revenu d'invalide peut être évalué sur la base des statistiques salariales figurant dans l'ESS 2018, soit celle qui était publiée le 21 avril 2020 au moment déterminant de la décision attaquée du 7 avril 2022 (arrêt du Tribunal fédéral 8C_655/2016 du 4 août 2017 consid. 6.3).![endif]&gt;![if&gt; Le salaire de référence est celui que peuvent réaliser les hommes dans des activités simples et répétitives dans le secteur privé. Vu le large éventail d’activités que cette catégorie d’emplois recouvre, il y a en effet lieu d’admettre qu’un nombre significatif d’entre elles sont adaptées à l’état de santé du recourant (arrêt du Tribunal fédéral 9C_279/2008 du 16 décembre 2008 consid. 4). D’après l’ESS 2018, ce revenu s’élève à CHF 5’417.- par mois (tableau TA1_tirage_skill_level, niveau 1, total, homme, part au 13 ème salaire comprise) ou à CHF 65'004.- par année (5’417 × 12). Ce salaire hypothétique se base toutefois sur une durée hebdomadaire de travail de quarante heures, inférieure à la moyenne usuelle dans les entreprises. Il convient dès lors de l’ajuster à la durée hebdomadaire normale de travail en 2021, laquelle est de 41,7 heures (tableau « Durée normale du travail dans les entreprises selon la division économique » de l'OFS), ce qui porte le salaire annuel à CHF 67'766.67 pour un plein temps (65'004 × 41,7 / 40). Réactualisé à l’année 2021 selon l’indice suisse des salaires nominaux pour les hommes (ISS ; en 2018 : 2260 et en 2021 : 2281 et non 2298 comme retenu à tort par l'intimé [dossier p. 174], puisque celui-ci correspond à l'ISS 2020), le revenu avec invalidité s'élève à CHF 68'396.36 (67'766.67 × 2281 / 2260). Même en opérant une réduction maximale de 25% sur ce salaire (consid. 15.7 ci-dessus) étant précisé que l'intimé a appliqué un abattement de 10% , le revenu d'invalide, qui s'élèverait alors à CHF 51'297.27 (68'396.36 - 17'099.09 [68'396.36 × 25 / 100 = 17'099.09]), comparé avec le revenu sans invalidité de CHF 58'246.-, donnerait un degré d'invalidité de 11,92% ([58'246 - 51'297.27] / 58'246 × 100), arrondi à 12% (ATF 130 V 121 consid. 3.2), ce qui est inférieur au taux de 40% ouvrant le droit à une rente (art. 28 al. 2 LAI).</w:t>
      </w:r>
    </w:p>
    <w:p>
      <w:r>
        <w:rPr>
          <w:b/>
        </w:rPr>
        <w:t>E. 17</w:t>
      </w:r>
    </w:p>
    <w:p>
      <w:r>
        <w:t>Reste encore à déterminer les dates auxquelles la rente entière d'invalidité doit être versée, puis supprimée. ![endif]&gt;![if&gt;</w:t>
      </w:r>
    </w:p>
    <w:p>
      <w:r>
        <w:rPr>
          <w:b/>
        </w:rPr>
        <w:t>E. 17.1</w:t>
      </w:r>
    </w:p>
    <w:p>
      <w:r>
        <w:t>Aux termes de l’art. 88a al. 1 RAI, si la capacité de gain de l'assuré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craindre.![endif]&gt;![if&gt; La modification du droit à la rente n'intervient qu'après l'écoulement de trois mois complets ( ATAS/218/2017 du 21 mars 2017 consid. 24b).</w:t>
      </w:r>
    </w:p>
    <w:p>
      <w:r>
        <w:rPr>
          <w:b/>
        </w:rPr>
        <w:t>E. 17.2</w:t>
      </w:r>
    </w:p>
    <w:p>
      <w:r>
        <w:t>En l'occurrence, à l'échéance du délai d'attente d'un an en octobre 2019 (et non en octobre 2020, comme l'a mentionné par erreur l'intimé dans la décision litigieuse), le recourant pouvait prétendre à la rente entière d'invalidité (art. 28 al. 1 let. b et c LAI; consid. 16.1 ci-dessus). ![endif]&gt;![if&gt; Le recourant n'a toutefois déposé sa demande de prestations que le 18 décembre 2019, soit plus de six mois après le début de son incapacité de travail durable le 4 octobre 2018. Il s'ensuit qu'en raison de sa demande tardive, la rente ne peut lui être versée au plus tôt que le 1 er juin 2020 (art. 29 al. 1 et 3 LAI) et non pas dès le 1 er octobre 2020 comme retenu à tort par l'intimé. La rente entière lui sera versée jusqu'au 31 janvier 2022 (soit trois mois après l’amélioration de la capacité de gain survenue le 5 octobre 2021), comme retenu à juste titre par l'intimé.</w:t>
      </w:r>
    </w:p>
    <w:p>
      <w:r>
        <w:rPr>
          <w:b/>
        </w:rPr>
        <w:t>E. 18</w:t>
      </w:r>
    </w:p>
    <w:p>
      <w:r>
        <w:t>Au vu de ce qui précède, le recours sera très partiellement admis, et la décision litigieuse réformée, en ce sens que le recourant a droit au versement d'une rente entière d'invalidité du 1 er juin 2020 au 31 janvier 2022.![endif]&gt;![if&gt;</w:t>
      </w:r>
    </w:p>
    <w:p>
      <w:r>
        <w:rPr>
          <w:b/>
        </w:rPr>
        <w:t>E. 19</w:t>
      </w:r>
    </w:p>
    <w:p>
      <w:r>
        <w:t>Le recourant, représenté par son avocate, obtenant très partiellement gain de cause, une indemnité lui sera accordée à titre de participation à ses frais et dépens (art. 61 let. g LPGA; art. 6 du règlement sur les frais, émoluments et indemnités en matière administrative du 30 juillet 1986 [RFPA - E 5 10.03]; art. 89H al. 3 LPA), fixée en l'espèce à CHF 200.-, étant précisé que son intervention s'est apparemment limitée à la consultation du dossier. ![endif]&gt;![if&gt;</w:t>
      </w:r>
    </w:p>
    <w:p>
      <w:r>
        <w:rPr>
          <w:b/>
        </w:rPr>
        <w:t>E. 20</w:t>
      </w:r>
    </w:p>
    <w:p>
      <w:r>
        <w:t>Au vu du sort du recours, il y a lieu de condamner l'intimé au paiement d'un émolument, arrêté à CHF 200.- (art. 69 al. 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