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A/1518/2020 vom 23. März 2021</w:t>
      </w:r>
    </w:p>
    <w:p>
      <w:r>
        <w:t>GE Cour de justice, 2021-03-23, FR</w:t>
      </w:r>
    </w:p>
    <w:p>
      <w:r>
        <w:rPr>
          <w:b/>
        </w:rPr>
        <w:t xml:space="preserve">Quelle: </w:t>
      </w:r>
      <w:r>
        <w:t>https://mcp.opencaselaw.ch/entscheid/ge_gerichte_A_1518_2020</w:t>
      </w:r>
    </w:p>
    <w:p>
      <w:r>
        <w:t>FR: GE_GERICHTE A/1518/2020 du 23 mars 2021</w:t>
      </w:r>
    </w:p>
    <w:p>
      <w:r>
        <w:t>IT: GE_GERICHTE A/1518/2020 del 23 marzo 2021</w:t>
      </w:r>
    </w:p>
    <w:p>
      <w:pPr>
        <w:pStyle w:val="Heading2"/>
      </w:pPr>
      <w:r>
        <w:t>Regeste</w:t>
      </w:r>
    </w:p>
    <w:p>
      <w:r>
        <w:t>AMÉNAGEMENT DU TERRITOIRE ET DROIT PUBLIC DES CONSTRUCTIONS;CONSTRUCTION ET INSTALLATION;PROTECTION DES MONUMENTS | Examen de la conformité au droit d’arrêtés du Conseil d’État modifiant partiellement le plan de site de la Rade n. 28392G-610 et rejetant une demande d’autorisation de construire un immeuble administratif sur le site de la Rade. Examen complet de l’historique de l’aménagement de la Rade, en particulier des bâtiments de bureaux et de banques et de l’importance de l’écoulement du temps sur le regard porté sur le patrimoine et les critères de sa protection. Recours du requérant de l’autorisation de construire rejeté. | Cst.26.al1; LAT.14; LAT.17; LAT.21.al2; LaLAT.12.al5; LaLAT.13.al1.letc; LPMNS.1; LPMNS.4; LPMNS.7.al1; LPMNS.10; LPMNS.35; LPMNS.38; LPMNS.39; LPMNS.40</w:t>
      </w:r>
    </w:p>
    <w:p>
      <w:pPr>
        <w:pStyle w:val="Heading2"/>
      </w:pPr>
      <w:r>
        <w:t>Erwägungen</w:t>
      </w:r>
    </w:p>
    <w:p>
      <w:r>
        <w:rPr>
          <w:b/>
        </w:rPr>
        <w:t>E. 4</w:t>
      </w:r>
    </w:p>
    <w:p>
      <w:r>
        <w:t>cm et traversant l'immeuble de part en part, le passage haut de 3 cm possible au plafond, et ont visité l'attique du bâtiment montrant clairement l'inclinaison du plafond mansardé, et observé depuis la terrasse l'attique du bâtiment voisin, droit. M. DUARTE a encore indiqué que la hauteur sous plafond serait réduite s'il fallait rénover en respectant le gabarit et la forme de la toiture actuelle, car la dalle devrait être remplacée et munie de portants métalliques. 25) Le 12 janvier 2021, la recourante a fait parvenir ses observations finales. Le DT n'avait toujours pas expliqué si l'immeuble devait être protégé pour lui-même ou comme partie d'un ensemble. Or, l'intérêt à la protection de l'immeuble n'était pas établi. Les fiches de recensement n'avaient aucune valeur légale. Le caractère intéressant ne s'opposait pas à la démolition si un reportage photographique était établi au titre des archives. La mesure de protection devait être légitime également du point de vue du public. Or, la valeur générale faisait défaut. La fiche de recensement ne traitait pas des qualités du bâtiment actuel. Le DT valorisait à la fois le retour à la façade de 1955 et le lien entre la façade actuelle et celle de la banque cantonale de Genève. Un nouveau bâtiment respecterait le gabarit originel, pourrait interpréter de manière moderne le bâtiment qui avait précédé celui de 1955, et serait plus respectueux de l'environnement. 26) Le 12 janvier 2021, le DT a également fait parvenir ses observations finales. Le transport sur place avait permis de démontrer définitivement les qualités du bâtiment justifiant son maintien au moyen du plan litigieux, tant pour lui-même que par son insertion dans le site de la Rade. Ses éléments caractéristiques et sa substance avaient été conservés malgré les travaux des années 1980. L'immeuble, qui incarnait trois périodes de l'histoire de l'aménagement de la Rade, ne pouvait être rattaché au seul courant post-moderne. Le plan de site ne visait d'ailleurs pas les seuls immeubles issus de ce courant, mais également des bâtiments plus anciens. La protection ne tendait pas à la conservation du seul gabarit, mais de l'ensemble des caractéristiques de l'immeuble. La recourante alléguait, sans le prouver, que la conservation rendrait la location du bien plus difficile et que les coûts de la transformation seraient plus élevés que ceux de la démolition-reconstruction. L'atteinte au droit de propriété était dans un rapport raisonnable avec le but d'intérêt public poursuivi. Pour le surplus, la requête d'autorisation en vue de transformation était correctement instruite. 27) Le 15 janvier 2021, les parties ont été informées que la cause était gardée à juger. Il sera revenu sur leurs arguments en tant que de besoin dans la partie en droit.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des arrêtés du 27 avril 2020 modifiant le plan de site et rejetant l'opposition de la recourante en ce qu'ils attribuent à son immeuble la valeur « intéressant ». 3) La recourante se plaint de la violation de son droit d'être entendue, faute pour les arrêtés querellés d'être suffisamment motivés. a.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136  I 229 consid. 5.2). La motivation peut pour le reste être implicite et résulter des différents considérants de la décision (arrêts du Tribunal fédéral 6B_970/2013 du 24  juin 2014 consid. 3.1 et 6B_1193/2013 du 11 février 2014 consid. 1.2). b. En l'espèce, les arrêtés attaqués ont repris les griefs soulevés par la recourante dans son opposition, qu'ils ont réfutés. S'agissant des qualités du bâtiment, ils ont rappelé les constats opérés par la fiche de recensement pour souligner, en détail, la valeur tant individuelle que d'ensemble (arrêté, consid. 2.3, pp. 4-5). Il ressort de son courrier du 21 novembre 2017 que la recourante connaissait déjà la valeur accordée par la CMNS à la façade. Celle-ci avait été évoquée dans la fiche de recensement du 31 mai 2017 ainsi que dans le préavis de la séance plénière de la CMNS du même jour qui approuvait les premières fiches et s'y référait. Le préavis mentionnait qu'en regard de ses qualités architecturales, principalement l'adéquation au site du volume, et l'expressivité du langage des façades, caractéristique de son époque de construction, la CMNS était défavorable à sa démolition. La fiche de recensement, pour autant qu'elle n'avait pas été remise à la recourante, lui était accessible dans le dossier auprès du DT. La motivation de la décision était ainsi suffisamment développée. Elle était suffisamment connue de la recourante pour que celle-ci puisse s'y opposer dans un premier temps, puis former un recours étayé et argumenté dans un second temps, ce qui montrait qu'elle connaissait bien la motivation des arrêtés. Le grief sera écarté. 4)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reposer sur une base légale - une loi au sens formel si la restriction est grave -, être justifié par un intérêt public et respecter le principe de la proportionnalité (art. 36 al. 1 à 3 Cst. ; ATF 126 I 219 consid. 2a et les arrêts cités). 5) a. En droit fédéral, les plans d'affectation règlent le mode d'utilisation du sol. Ils délimitent en premier lieu les zones à bâtir, les zones agricoles et les zones à protéger (art. 14 LAT).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 let. c LAT). Lorsque les circonstances se sont sensiblement modifiées, les plans d'affectation font l'objet des adaptations nécessaires (art. 21 al. 2 LAT). b.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 Les plans de site de la LPMNS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pp. 259 et 260). c. La LPMNS a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d'encourager toutes mesures éducatives et de soutenir les efforts entrepris en faveur de la protection des monuments, de la nature et des sites (art. 1 let. e) et d'encourager les économies d'énergie et la production d'énergies renouvelables lors de la rénovation d'immeubles au bénéfice d'une mesure de protection patrimoniale (art. 1 let. f).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et des immeubles et des sites dignes d'intérêt, ainsi que des beautés naturelles (art. 4 let. b). S'agissant des bâtiments, elle prévoit l'établissement d'un inventaire de tous les immeubles dignes d'être protégés au sens de l'art. 4 (art. 7 al. 1), ainsi que la possibilité pour le Conseil d'État d'ordonner la classement d'un monument ou d'une antiquité (art. 10). S'agissant de la nature et des sites, elle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loi sur les constructions et les installations diverses du 14 avril 1988 (LCI - L 5 05) sur les zones protégées. d. En ce qui concerne les sites, l'art. 38 LPMNS permet au Conseil d'État d'édicter les dispositions nécessaires à l'aménagement ou à la conservation d'un site protégé par l'approbation d'un plan de site assorti, le cas échéant, d'un règlement (al. 1). Les plans et règlements déterminent notamment les mesures propres à assurer la sauvegarde ou l'amélioration des lieux, telles que : maintien de bâtiments existants, alignement aux abords de lisières de bois et forêts ou de cours d'eau ; angles de vue, arborisation (al. 2 let. a), les conditions relatives aux constructions, installations et exploitations de toute nature (implantation, gabarit, volume, aspect, destination - al. 2 let. b) et les cheminements ouverts au public ainsi que les voies d'accès à un site ou à un point de vue (al. 2 let. c).  À défaut d'autres règles fixées dans le plan de site ou son règlement, les art. 90, al. 1, et 93, al. 1, 2 et 4 LCI sont applicables par analogie aux travaux exécutés dans les immeubles déclarés maintenus, sous réserve des cas d'intérêt public (al. 3). Les immeubles maintenus au sens de l'al. 2, let. a, ne peuvent, sans l'autorisation du Conseil d'État, être démolis, transformés ou faire l'objet de réparations importantes (al. 4). Le projet de plan de site est élaboré par le DT, qui peut en prendre l'initiative, en collaboration avec la commune et la CMNS (art. 39 LPMNS). Il est soumis à une enquête publique d'au moins trente jours annoncée publiquement, au terme de laquelle le DT établit et publie un projet de décision, à laquelle toute personne, organisation ou autorité disposant de la qualité pour recourir peut faire opposition. Le Conseil d'État statue sur les oppositions, modifie cas échéant et adopte le plan de site. Si l'opposition émane d'une commune, le Grand Conseil est appelé à statuer sous forme de résolution. Le recours contre l'adoption du plan est régi par l'art. 36 LaLAT (art. 40 al. 1 à 9 LPMNS). Le plan fait l'objet d'un réexamen périodique. Sous réserve d'éléments d'ordre secondaire, pour lesquels une nouvelle enquête publique n'est pas nécessaire, sa modification ou son abrogation est soumise à la même procédure (art. 40 al. 10 LPMNS). e. Le règlement relatif au plan de site de la Rade adopté le 4 octobre 1993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En règle générale, le caractère du site doit être préservé, notamment l'implantation des constructions (art. 3 al. 1). L'architecture, les matériaux et teintes des constructions doivent respecter le caractère historique du quartier (art. 3 al. 2). Le plan désigne les bâtiments maintenus en raison de leur intérêt architectural et historique ou de leur appartenance à un ensemble au sens des art. 80 et 90 LCI ; il désigne également les bâtiments d'architecture contemporaine qui présentent un intérêt particulier (art. 4 al. 1). En cas de rénovation ou de transformation de ces bâtiments maintenus, les structures porteuses, de même que, en règle générale, les éléments architecturaux caractéristiques, notamment les verrières, les décors intérieurs et extérieurs, les terrasses entre les bâtiments et la rue, doivent être sauvegardés (art. 4 al. 2). Pour les bâtiments maintenus, le gabarit de hauteur d'un bâtiment transformé ne peut excéder la hauteur du bâtiment existant. L'aménagement de locaux d'habitation dans les combles est possible dans la mesure où il n'est pas porté atteinte au caractère architectural des bâtiments, mais n'est pas admis dans les combles surmontant les étages à la Mansart (art. 7 al. 1). 6) La protection par le plan de site est plus large et plus souple que le classement ou l'inscription à l'inventaire. Dans le cadre de la première LPMNS, du 19 juin 1920, le classement constituait la seule mesure de droit public à la disposition des autorités pour assurer la conservation des bâtiments dignes de protection. Généralement, cette mesure ne pouvait concerner qu'un seul bâtiment à la fois ou une partie d'un bâtiment. Le législateur a toutefois expressément pris le parti de protéger légalement des biens patrimoniaux appréhendés plus largement. Cette option a été explicitement motivée comme suit dans l'exposé des motifs à l'appui du projet de la nouvelle LPMNS, du 4 juin 1976 : « Au fil du temps, le cercle des biens dignes de protection et dont la sauvegarde revêt un caractère croissant d'intérêt général s'est considérablement élargi pour s'étendre à de nouvelles composantes du patrimoine commun que menacent ou détruisent les nuisances de notre société [...] Ce phénomène est particulièrement sensible dans notre canton, dont le territoire fort exigu abrite une agglomération en expansion. Partout, en Europe et ailleurs, ces questions préoccupent les autorités chargées de l'aménagement du territoire [...] Dans le cadre genevois beaucoup plus modeste, il convient de protéger particulièrement certains lieux : monuments, ensembles bâtis ou naturels, paysages particulièrement remarquables, etc., et d'en ouvrir - si possible - l'accès à la population soucieuse de sauvegarder son patrimoine culturel et de jouir d'un constat paisible avec la nature » (Mémorial des séances du Grand Conseil, 1974, p. 3244). Le rapport de la commission du Grand Conseil chargée d'examiner le projet de loi qui a donné lieu à l'adoption de la LPMNS du 4 juin 1976, précise que la commission « a voulu introduire la possibilité de protéger des ensembles bâtis, notamment dans le cadre des dispositions sur les sites. Les art. 32 à 35 ont été modifiés dans ce sens. Il semble, en effet, plus judicieux de traiter des ensembles bâtis sous le régime du plan de site que sous celui du classement » (Mémorial des séances du Grand Conseil, 1976, p. 1906). Le terme « notamment » utilisé à l'art. 35 al. 2 LPMNS indique que la notion de « site » doit être comprise largement. Le législateur a refusé de circonscrire la notion de site à celle correspondant au sens courant de ce terme, mais a étendu cette notion en y englobant d'autres objets à protéger, parmi lesquels peuvent être inclus les constructions de quartiers, le tissu urbain dans lequel elles s'inscrivent et la végétation qui les englobe ( ATA/784/2016 du 20 septembre 2016 consid. 5b). Le Tribunal fédéral a relevé que dans la pratique genevoise, l'instrument du plan de site était large, et avait été utilisé pour la protection de périmètres ou d'objets assez divers et ne présentant pas nécessairement une homogénéité architecturale ou historique. Tel était le cas de la Rade de Genève, du centre de la ville de Carouge ainsi que des villages au caractère typique comme Hermance ou Dardagny. Il a même admis que des quartiers comme la Roseraie ou Beau-Séjour - contenant des éléments disparates, comme des établissements hospitaliers, des groupes de villas, des bâtiments de grand gabarit et des constructions isolées -constituaient un site (arrêt du Tribunal fédéral 1P.44/2004 du 12 octobre 2004 consid. 2.1.3, faisant suite à l' ATA/884/2003 du 2 décembre 2003 consid. 4). La légalité de l'adoption de plans de site poursuivant des objectifs de protection diversifiés a été confirmée tant par le Tribunal fédéral que par la chambre de céans (arrêt du Tribunal fédéral 1P.801/99 du 16 mars 2002 ; SJ 1995 p. 87 ; ATA/884/2003 du 2 décembre 2003). Le Tribunal fédéral a par exemple admis que la présence d'hôtels pouvait constituer une caractéristique du site de la Rade à protéger (arrêt du Tribunal fédéral 1P.28/1993 du 6 mai 1998 consid. 7 = SJ 1995 89-90). 7) D'après la jurisprudence, les restrictions de la propriété ordonnées pour protéger les monuments et les sites naturels ou bâtis sont en principe d'intérêt public (ATF 126 I 219 consid. 2c ; 119 Ia 305 consid. 4b et les arrêts cités ; arrêt du Tribunal fédéral 1P.28/2004 du 12 octobre 2004 consid. 2.2.1).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(cf. notamment : Philip VOGEL, La protection des monuments historiques, thèse Lausanne 1982 p. 25) ; la jurisprudence a déjà pris acte de cette évolution (ATF 126 I 219 consid. 2e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 ème siècle et de la nécessité de sauvegarder un patrimoine plus récent, voire contemporain ( ATA/643/2013 du 1 er octobre 2013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8) 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 Au sujet des monuments, la jurisprudence a retenu que l'art. 4 let. 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(Philip VOGEL, op. cit. p. 25) ;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ème siècle et la nécessité de sauvegarder un patrimoine plus récent, voire contemporain ( ATA/721/2012 du 30 décembre 2012 consid. 4b).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et les références citées). La chambre de céans a pu juger à propos d'un monument au sens de la LPMNS qu'il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Toutefois,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ATA/1214/2015 précité consid. 4b ; Philip VOGEL, op. cit., p. 24 et les références citées). Le Tribunal fédéral a admis l'assujettissement aux normes de protection d'un bâtiment jugé intéressant par une étude avalisée par la commission spécialisée car celui-ci présentait une valeur d'ensemble découlant de ses rapports, tant sur le plan spatial que sur celui de l'organisation de sa distribution intérieure avec les autres bâtiments situés dans le périmètre protégé (arrêt du Tribunal fédéral 1C_57/2008 du 19 mars 2009 consid. 4.2.2). 9) La CMNS est une commission consultative. Elle donne son préavis sur tous les objets qui, en raison de la matière, sont de son ressort (art. 47 al. 1 LPMNS). Elle peut proposer toutes mesures propres à concourir aux buts de la présente loi (art. 47 al. 2 LPMNS). Elle donne notamment son préavis sur les projets de plans de site établis par l'un des départements compétents (art. 5 al. 2 let. k du règlement d'exécution de la loi sur la protection des monuments, de la nature et des sites du 29 novembre 1976 - RPMNS - L 4 05.01) ainsi que sur tout projet de travaux concernant un immeuble situé dans le périmètre d'un plan de site (art. 5 al. 2 let. l RPMNS). L'autorité jouit, sous réserve d'excès ou d'abus de pouvoir, d'une certaine liberté d'appréciation dans les suites à donner dans un cas d'espèce, quel que soit le contenu du préavis, celui-ci n'ayant qu'un caractère consultatif ( ATA/1024/2019 précité consid. 3d ; ATA/721/2012 du 30 décembre 2012 consid. 5). Chaque fois que l'autorité administrative suit les préavis des instances consultatives, l'autorité de recours observe une certaine retenue, en fonction de son aptitude à trancher le litige ( ATA/1068/2016 du 20 décembre 2016 consid. 6b et les références citées ; Thierry TANQUEREL, Manuel de droit administratif, 2018, n. 508 p. 176 et la jurisprudence citée). Les autorités de recours se limitent le cas échéant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ATA/434/2018 du 8 mai 2018 consid. 6f ; ATA/1214/2015 du 10 novembre 2015 consid. 4f ; ATA/126/2013 du 26 février 2013 consid. 9b). La chambre de céans est en revanche libre d'exercer son propre pouvoir d'examen lorsqu'elle procède elle-même à des mesures d'instruction, à l'instar d'un transport sur place ( ATA/1024/2019 du 18 juin 2019 consid. 4c et les références citées). Si la consultation de la CMNS est imposée par la loi, le préavis de cette commission a un poids certain dans l'appréciation qu'est amenée à effectuer l'autorité de recours ( ATA/1214/2015 précité ; ATA/126/2013 précité). En outre, la CMNS se compose pour une large part de spécialistes, dont notamment des membres d'associations d'importance cantonale, poursuivant par pur idéal des buts de protection du patrimoine (art. 46 al. 2 LPMN). À ce titre, son préavis est important ( ATA/1024/2019 précité consid. 4d ; ATA/1214/2015 précité). 10)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la rentabilité doivent être prises en compte (ATF 118 Ia 384 consid. 5 ; ATA/1024/2019 précité consid. 2). 11) La recourante se plaint que les arrêtés violent l'art. 38 al. 2 let. a LPMNS. Le bâtiment n'est ni classé, ni inscrit à l'inventaire, ni objet d'une publication. Le DT n'a exposé que sommairement les motifs à l'appui d'une conservation. Le bâtiment ne présente pas d'intérêt suffisant. a. Le bâtiment n'avait en effet pas été jugé devoir être « maintenu » dans le précédent plan de site de 1993, faute sans doute de qualités suffisantes retenues à l'époque. Cela étant, un quart de siècle s'est écoulé depuis, et il est admis sur le principe que le regard porté sur le patrimoine et les critères de la protection doivent évoluer avec le temps. Cet élément doit ainsi être relativisé compte tenu de l'écoulement du temps. b. Le bâtiment n'a effectivement pas été classé, ni porté à l'inventaire, comme le fait observer la recourante. L'inclusion dans un plan de site constitue toutefois une mesure de protection distincte du et alternative au classement ou à l'inscription. La recourante n'établit ni ne soutient que ces mesures constitueraient un préalable à la protection par un plan de site. c. Le bâtiment n'a pas plus fait l'objet d'une publication. Comme le fait toutefois observer le DT, tel est le cas de nombreux bâtiments « maintenus » par le plan de site, et même de bâtiments aujourd'hui classés mais longtemps ignorés. L'absence de publication ou d'intérêt montré par les publications scientifiques, qui ne prétendent pas à l'exhaustivité et n'ont pas pour fonction de recenser, ne permet pas d'inférer que le bâtiment est dépourvu de valeur patrimoniale. Cela étant, la fiche de recensement peut être regardée comme une publication manifestant de l'intérêt pour le bâtiment et son intégration au site. d. Il a été retenu plus haut que l'arrêté attaqué avait exposé de manière circonstanciée les motifs à l'appui d'une protection du bâtiment par le plan de site. L'exposé des motifs à l'appui de la procédure de consultation permet de comprendre les critères retenus pas l'autorité. La recourante a montré, dans l'opposition, puis le recours qu'elle a produits, qu'elle avait bien compris les enjeux de la modification du plan de site. e. L'arrêté attaqué a attribué au bâtiment la valeur « intéressant » et justifié cette nouvelle appréciation par le fait que celui-ci constituait l'une des première opérations participant, après-guerre, à la requalification du quartier en zone commerciale, que sa conception avait fait l'objet d'une réflexion soignée dans le contexte urbain qui se redessinait, que l'expression architecturale et les volumes du bâtiment témoignaient de sa position de pionnier inaugurant dans le quartier une série d'immeubles modernes dotés d'une trame régulière. Le Conseil d'État s'est fondé sur le préavis favorable de la CMNS, laquelle avait approuvé une fiche de recensement qui détaillait toutes les qualités de l'immeuble. La fiche de recensement avait retenu que l'immeuble inaugurait dans le quartier la série d'immeubles administratifs modernes caractérisés par leur trame régulière, cette position de pionnier éclairait certains choix de Luc HERMÈS en termes volumétriques et d'expression architecturale : optant pour un toit en pente et un épiderme à deux couches superposées, il respectait la volonté des autorités de conserver son homogénéité formelle au quartier, tout en inscrivant plus directement l'oeuvre dans une continuité historique avec son environnement immédiat, qui était alors encore largement composé de maisons anciennes. C'était particulièrement vrai en ce qui concernait l'immeuble remplacé, dont l'image, caractérisée par des chaînes d'angle, des cordons d'étage, une puissante corniche et une toiture à large lucarne (côté lac) semblait avoir été réinterprétée dans une clef moderne. Par ailleurs, il fallait relever qu'a posteriori, la décision s'était révélée judicieuse, puisque l'immeuble formait une heureuse transition, dans la silhouette urbaine, entre les immeubles d'avant-guerre et les édifices ajoutés par la suite, plus radicalement modernes. La motivation de l'arrêté querellé ne procède ainsi ni d'un excès ni d'un abus du pouvoir d'appréciation de l'autorité. f. La recourante invoque la transformation subie par l'immeuble dans les années 1980. Il y a lieu d'observer, avec le DT, que celle-ci n'a pas faite perdre à l'immeuble sa substance patrimoniale, puisque son gabarit comme la structure proéminente et le dessin en grille de la façade, si caractéristique, n'ont pas été altérés, et que le carrossage apparaît en outre réversible. La recourante ne saurait ainsi être suivie lorsqu'elle affirme que les rénovations et transformations ont changé de manière radicale et définitive l'apparence de l'immeuble. 12) La recourante se plaint d'une violation de la garantie de la propriété. a. Il n'est pas contesté que la mesure querellée est fondée sur une base légale. b. Les impératifs de protection du patrimoine sont par nature d'intérêt public. En l'espèce, il n'est pas douteux que la protection du patrimoine bâti d'après-guerre de style bancaire poursuit bien un intérêt public. La recourante évoque la nécessité que la qualité de l'immeuble puisse être reconnue par la population, ce qui constitue en réalité une condition développée à l'appui des classements d'objets. Cela étant, elle n'établit pas que la population serait insensible à la protection de la Rade comme telle, et dans son état actuel, pas plus qu'elle ne démontre que le mouvement de réévaluation conduit avec l'adoption du nouveau plan ne serait pas concomitant d'un nouveau regard porté plus généralement, et partant par la population dans son ensemble, sur des ouvrages d'architecture négligés un quart de siècle plus tôt. c. La recourante reproche enfin au maintien de l'immeuble d'engendrer pour elle des contraintes et des coûts insupportables, et d'être partant disproportionné. Le coût de la rénovation n'est pas de nature à faire obstacle, à lui seul et par principe, à la protection du patrimoine bâti, à peine de priver cette dernière de toute efficience. Cela étant, la recourante n'articule pas de chiffres, et le projet de rénovation qu'elle a déposé est en cours d'instruction. Dans ce cadre, de nombreuses possibilités, tant esthétiques que techniques pourront être envisagées avec le DT. La recourante se plaint encore que la conservation l'empêchera de s'adapter aux standards modernes en termes de hauteur de plafond. Elle n'établit toutefois pas que des bureaux rénovés dans un bâtiment protégé et jouissant d'une considération nouvelle ne trouveront pas preneur pour ce motif. Il est observé pour le surplus que de nombreux immeubles de bureaux de l'époque ont été protégés et ont conservé les mêmes dimensions. Suivant le même raisonnement, de nombreux immeubles issus d'une époque moins sensible aux impératifs de parcimonie énergétique ont pu être rénovés pour satisfaire au mieux aux nouveaux critères. Les griefs seront écartés. 13) La recourante se plaint enfin de la violation de la planification directrice. Le DT a observé avec raison que le maintien du bâtiment était conforme au PDCn 2030, qui prévoit une densification ponctuelle du secteur de l'immeuble et diverses mesures de protection du patrimoine, étant précisé que les mesures de protection prévues par le PDCN 2030 ne constituent pas un obstacle à des mesures additionnelles de protection. Entièrement mal fondé, le recours sera rejeté. 14) Vu l'issue du litige, un émolument de CHF 2'000.-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