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A/1514/2017 vom 23. Oktober 2017</w:t>
      </w:r>
    </w:p>
    <w:p>
      <w:r>
        <w:t>GE Cour de justice, 2017-10-23, FR</w:t>
      </w:r>
    </w:p>
    <w:p>
      <w:r>
        <w:rPr>
          <w:b/>
        </w:rPr>
        <w:t xml:space="preserve">Quelle: </w:t>
      </w:r>
      <w:r>
        <w:t>https://mcp.opencaselaw.ch/entscheid/ge_gerichte_A_1514_2017</w:t>
      </w:r>
    </w:p>
    <w:p>
      <w:r>
        <w:t>FR: GE_GERICHTE A/1514/2017 du 23 octobre 2017</w:t>
      </w:r>
    </w:p>
    <w:p>
      <w:r>
        <w:t>IT: GE_GERICHTE A/1514/2017 del 23 ottobre 2017</w:t>
      </w:r>
    </w:p>
    <w:p>
      <w:pPr>
        <w:pStyle w:val="Heading2"/>
      </w:pPr>
      <w:r>
        <w:t>Regeste</w:t>
      </w:r>
    </w:p>
    <w:p>
      <w:r>
        <w:t>RETINJ</w:t>
      </w:r>
    </w:p>
    <w:p>
      <w:pPr>
        <w:pStyle w:val="Heading2"/>
      </w:pPr>
      <w:r>
        <w:t>Erwägungen</w:t>
      </w:r>
    </w:p>
    <w:p>
      <w:r>
        <w:rPr>
          <w:b/>
        </w:rPr>
        <w:t>E. 9</w:t>
      </w:r>
    </w:p>
    <w:p>
      <w:r>
        <w:t>al. 1 et 2 LaLP); Qu’elle est dès lors recevable à la forme; Considérant qu'aux termes des art. 69 al. 1 et 71 LP, dès réception de la réquisition de poursuite, c'est-à-dire « aussi vite que possible », l’Office rédige le commandement de payer correspondant et le notifie au débiteur; Qu'en l'espèce, la réquisition de poursuite en validation de séquestre visée a été expédiée à l’Office par le créancier le 27 février 2017, pour être enregistrée le 3 mai 2017 seulement, le commandement de payer correspondant, poursuite n° 17 xxxx06 E, étant en cours de notification à la date du dépôt des observations de l’Office, le 15 mai 2017; Que la Chambre de surveillance ignore en outre si ce commandement de payer a bien été notifié au débiteur concerné, à ce jour; Que, quoi qu’il en soit, l’Office n’a manifestement pas agi « aussi vite que possible » dès réception de la réquisition de poursuite en question, comme le lui imposait la loi en vue de cette notification, de sorte que le traitement de cette réquisition a souffert d’un retard injustifié, lequel doit être constaté; Qu’en effet, il appartient audit Office de faire diligence dans le traitement des actes de poursuite qui lui parviennent, étant rappelé à cet égard que la loi ne laisse aucune place à une surcharge de travail ou à une désorganisation dudit Office, même réelle, pour justifier une telle violation du principe de célérité; Qu’en particulier, des problèmes informatiques ne constituent en aucun cas des faits de nature à justifier le retard apporté par l'Office à l'exécution des mesures qui lui incombent légalement (ATF 107 III 3 ; SJ 1993 p. 291); Que la présente décision sera transmise au Préposé de l’Office afin qu’il prenne les mesures nécessaires à éviter que les circonstances du cas d’espèce ne se reproduisent; Qu’en application de l’art. 62 al. 2 OELP, il n’est alloué aucun frais ni dépens dans la procédure de plainte au sens de l'art. 17 LP. * * * * * PAR CES MOTIFS, La Chambre de surveillance : A la forme : Déclare recevable la plainte formée le 26 avril 2017 par le A______ pour retard injustifié de l’Office des poursuites dans le traitement de sa réquisition de poursuite n° 17 xxxx06 E dirigée contre B______. Au fond : Constate que l’Office des poursuites a fait preuve d’un retard injustifié dans le traitement de cette réquisition de poursuite. Transmet la présente décision en copie au Préposé de l’Office des poursuites, dans le sens des considérants. Siégeant : Madame Valérie LAEMMEL-JUILLARD, présidente; Madame Marilyn NAHMANI et Monsieur Eric DE PREUX, juges assesseur(e)s; Madame Marie NIERMARECHAL, greffière. La présidente : Valérie LAEMMEL-JUILLARD La greffière : Marie NIERMARECHAL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