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A/1504/2002 vom 25. November 2003</w:t>
      </w:r>
    </w:p>
    <w:p>
      <w:r>
        <w:t>GE Cour de justice, 2003-11-25, FR</w:t>
      </w:r>
    </w:p>
    <w:p>
      <w:r>
        <w:rPr>
          <w:b/>
        </w:rPr>
        <w:t xml:space="preserve">Quelle: </w:t>
      </w:r>
      <w:r>
        <w:t>https://mcp.opencaselaw.ch/entscheid/ge_gerichte_A_1504_2002</w:t>
      </w:r>
    </w:p>
    <w:p>
      <w:r>
        <w:t>FR: GE_GERICHTE A/1504/2002 du 25 novembre 2003</w:t>
      </w:r>
    </w:p>
    <w:p>
      <w:r>
        <w:t>IT: GE_GERICHTE A/1504/2002 del 25 novembre 2003</w:t>
      </w:r>
    </w:p>
    <w:p>
      <w:pPr>
        <w:pStyle w:val="Heading2"/>
      </w:pPr>
      <w:r>
        <w:t>Erwägungen</w:t>
      </w:r>
    </w:p>
    <w:p>
      <w:r>
        <w:rPr>
          <w:b/>
        </w:rPr>
        <w:t>E. 3</w:t>
      </w:r>
    </w:p>
    <w:p>
      <w:r>
        <w:t>La qualité pour recourir de l’épouse de l’assuré découle de l’art. 84 alinéa 1 de la loi fédérale sur l’assurance-vieillesse et survivants (LAVS ; RS 831.10), applicable par renvoi de l’art. 69 de la loi sur l’assurance-invalidité (LAI ; RS 831.20), qui prévoit que les intéressés peuvent, dans les trente jours dès la notification, interjeter recours contre les décisions des caisses de compensation prise en vertu de la LAVS. Le même droit appartient aux parents en ligne ascendante et descendante ainsi qu’aux frères et sœurs de celui qui prétend avoir doit à la rente. Ce droit appartient également au conjoint (RCC 1973 p. 471).</w:t>
      </w:r>
    </w:p>
    <w:p>
      <w:r>
        <w:rPr>
          <w:b/>
        </w:rPr>
        <w:t>E. 4</w:t>
      </w:r>
    </w:p>
    <w:p>
      <w:r>
        <w:t>Interjeté en temps utile dans les formes et délai légaux, le recours est recevable (art. 69 LAI et 84 LAVS).</w:t>
      </w:r>
    </w:p>
    <w:p>
      <w:r>
        <w:rPr>
          <w:b/>
        </w:rPr>
        <w:t>E. 5</w:t>
      </w:r>
    </w:p>
    <w:p>
      <w:r>
        <w:t>Le Tribunal de céans doit déterminer la capacité résiduelle de travail de l’assuré, et par conséquent son degré d'invalidité L’article 4 alinéa 1 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Les constatations du médecin de famille quant à l’appréciation de l’incapacité de travail de l’assuré ont une valeur probante inférieure à celle des spécialistes (RCC 1988, p. 504). Si le rapport médical ne donne pas un tableau suffisamment clair de l’atteinte à la santé et de ses effets sur la capacité de travail pour décider de manière fiable du droit aux prestations, l’office AI ordonne un examen médical supplémentaire. Cet examen peut normalement être effectué par un médecin-spécialiste ou dans une division d’hôpital. Lorsqu’un examen pluridisciplinaire est nécessaire, l’office AI mandate un Centre d’observation médicale de l’AI (COMAI). Un examen plus complet peut raisonnablement être exigé d’un assuré et n’est pas disproportionné lorsque le dossier n’est pas suffisamment documenté sur l’état de santé, la capacité de travail et les possibilités de réadaptation de la personne assurée (RCC 1980, p. 346).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En l’espèce, le Tribunal de céans n’a aucune raison de s’écarter des conclusions du docteur O__________ dont l’expertise répond aux exigences permettant de lui reconnaître pleine force probante au sens de la jurisprudence précitée. A cet égard, quoi qu’en dise la recourante, les appréciations du médecin traitant, le docteur L__________, ne sauraient faire échec aux conclusions de l’expert dès lors qu’il mentionne que son patient ne peut plus du tout travailler, sans toutefois se prononcer de manière précise sur son incapacité de travail. Quant à l’appréciation du docteur N__________, si celui-ci demeure précis dans sa description de l’incapacité de travail de l’assuré, il y a lieu de retenir que ce sont précisément les évidentes contradictions de son rapport avec celle du médecin traitant qui ont conduit à confier une expertise au docteur O__________, raison pour laquelle il apparaît logique d’accorder plus de crédit à la dite expertise. En dernier lieu, on soulignera que le praticien consulté par l’assuré lui-même, soit le docteur P__________, a confirmé la capacité résiduelle de travail de 50 % de l’assuré tout en précisant que son état de santé était susceptible d’aggravation rapide. C’est ainsi à bon droit que l’OCAI a retenu une capacité résiduelle de travail de 50 % et a octroyé à l’assuré une demi-rente d’invalidité ainsi qu’une demi-rente complémentaire pour conjoint. Quant aux certificats médicaux produit par la recourante, force est de constater qu’ils ne sauraient être pris en compte dans le cadre du présent recours dès lors que le litige doit être tranché eu égard aux faits tels qu’ils se présentaient au moment de la décision initiale, soit en l’espèce, le 25 juin 2002 (ATF 125 V 369 consid. 2 et la référence ; 112 V 372 consid. 2b et 390 consid.1b). A relever qu'en cas d'aggravation, une nouvelle demande aurait pu être déposée auprès de l'OCAI. Pour tous ces motifs, le recours doit être rejeté et la décision de l’Office intimé confirmée.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