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A/1503/2022 vom 18. April 2023</w:t>
      </w:r>
    </w:p>
    <w:p>
      <w:r>
        <w:t>GE Cour de justice, 2023-04-18, FR</w:t>
      </w:r>
    </w:p>
    <w:p>
      <w:r>
        <w:rPr>
          <w:b/>
        </w:rPr>
        <w:t xml:space="preserve">Quelle: </w:t>
      </w:r>
      <w:r>
        <w:t>https://mcp.opencaselaw.ch/entscheid/ge_gerichte_A_1503_2022</w:t>
      </w:r>
    </w:p>
    <w:p>
      <w:r>
        <w:t>FR: GE_GERICHTE A/1503/2022 du 18 avril 2023</w:t>
      </w:r>
    </w:p>
    <w:p>
      <w:r>
        <w:t>IT: GE_GERICHTE A/1503/2022 del 18 aprile 2023</w:t>
      </w:r>
    </w:p>
    <w:p>
      <w:pPr>
        <w:pStyle w:val="Heading2"/>
      </w:pPr>
      <w:r>
        <w:t>Erwägungen</w:t>
      </w:r>
    </w:p>
    <w:p>
      <w:r>
        <w:rPr>
          <w:b/>
        </w:rPr>
        <w:t>E. 5</w:t>
      </w:r>
    </w:p>
    <w:p>
      <w:r>
        <w:t>Les recourants critiquent la décision du 25 mars 2022 refusant d’entrer en matière sur la demande de reconsidération de la décision du 3 septembre 2021. Il existerait des faits nouveaux.![endif]&gt;![if&gt;</w:t>
      </w:r>
    </w:p>
    <w:p>
      <w:r>
        <w:rPr>
          <w:b/>
        </w:rPr>
        <w:t>E. 5.1</w:t>
      </w:r>
    </w:p>
    <w:p>
      <w:r>
        <w:t>L'autorité administrative qui a pris une décision entrée en force n'est obligée de la reconsidérer que si sont réalisées les conditions de l'art. 48 al. 1 LPA. ![endif]&gt;![if&gt;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ATA/82/2022 du 1 er février 2022 consid. 2a ; ATA/539/2020 du 29 mai 2020 consid. 5b).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Un changement de législation peut fonder le réexamen d'une décision, à condition que l'état de fait déterminant se soit essentiellement modifié après le changement législatif (ATF 136 II 177 consid. 2.2.1).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 ATA/573/2013 du 28 août 2013 consid. 4).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 ATA/291/2017 du 14 mars 2017 consid. 4).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rPr>
          <w:b/>
        </w:rPr>
        <w:t>E. 5.2</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 ATA/1786/2019 du 10 décembre 2019 consid. 4d). Ainsi, dans la mesure où la décision attaquée ne porte que sur la question de la recevabilité de la demande de réexamen, le recourant ne peut que contester le refus d'entrer en matière que l'autorité intimée lui a opposé, mais non invoquer le fond, des conclusions prises à cet égard n'étant pas recevables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(Jacques DUBEY/ Jean-Baptiste ZUFFEREY, Droit administratif général, 2014, n. 2148), ce qui n'impliquera pas nécessairement que la décision d'origine sera modifiée (Thierry TANQUEREL, op. cit., n. 1429 p. 493).![endif]&gt;![if&gt; Si les conditions de l'art. 48 LPA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 ATA/1305/2021 du 30 novembre 2021 consid. 6c ; Thierry TANQUEREL, op. cit., n. 1429 p. 493).</w:t>
      </w:r>
    </w:p>
    <w:p>
      <w:r>
        <w:rPr>
          <w:b/>
        </w:rPr>
        <w:t>E. 5.3</w:t>
      </w:r>
    </w:p>
    <w:p>
      <w:r>
        <w:t>En l’espèce, le mauvais état de santé de la recourante existait dès juillet 2021. Il était connu des parties, ayant été évoqué par le fils de l’intéressée dans son courriel du 5 juillet [recte : août] 2021 au DT. Il ne s’agit donc pas d’un fait nouveau dont les justiciables pourraient se prévaloir.![endif]&gt;![if&gt; De même, leur absence de connaissances juridiques, voire, pour le fils, les connaissances limitées de certains points de fait en lien avec le dossier au vu de son jeune âge au moment où il était devenu propriétaire, avaient déjà été évoqués auprès de l’autorité intimée dans son courriel du 5 juillet [recte : août] 2021. Enfin, l’adoption de la motion 21.4334 relatif à la prescription de l’obligation de rétablir la situation conforme au droit hors de la zone à bâtir, même votée par les deux chambres de l’assemblée fédérale, n’entraîne pas de facto de modification de la législation en vigueur et de la jurisprudence applicable en l’état. Les mesures dites d'effet anticipé positif permettent d'appliquer des règles de droit qui ne sont pas encore adoptées, en lieu et place du droit en vigueur. Par effet anticipé, on entend l'application du droit futur, qui n'est pas encore entré en vigueur, en lieu et place du droit actuel. Cet effet se distingue de l'effet anticipé négatif par le fait que, lors d'une décision en cas de litige, on tient uniquement compte du droit à venir en occultant le droit existant. L'effet anticipé positif se heurte à l'impératif de la sécurité du droit et au principe de la légalité. Il n'est par conséquent pas admissible même s'il est prévu par une loi (ATF 136 I 142 consid. 3.2 ; 125 II 278 consid. 3c ; Alexander Ruch in: Aemisegger/Moor/Ruch/Tschannen, Commentaire pratique LAT: Planifier l'affectation, 2016, n° 55 ad art. 27 LAT). Les recourants ne sauraient rien déduire en leur faveur de la modification législative telle que proposée dans la motion précitée, processus dont l'issue reste par ailleurs incertaine. En conséquence, les circonstances ne se sont pas modifiées depuis la décision du 3 septembre 2021. C’est en conséquence à bon droit que le département a refusé d’entrer en matière sur la demande de reconsidération, ce que le TAPI a justement confirmé. Entièrement mal fondé, le recours sera rejeté.</w:t>
      </w:r>
    </w:p>
    <w:p>
      <w:r>
        <w:rPr>
          <w:b/>
        </w:rPr>
        <w:t>E. 6</w:t>
      </w:r>
    </w:p>
    <w:p>
      <w:r>
        <w:t>Vu l'issue du litige, un émolument de CHF 1'000.- sera mis à la charge des recourants, pris solidairement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