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A/1502/2024 vom 6. August 2024</w:t>
      </w:r>
    </w:p>
    <w:p>
      <w:r>
        <w:t>GE Cour de justice, 2024-08-06, FR</w:t>
      </w:r>
    </w:p>
    <w:p>
      <w:r>
        <w:rPr>
          <w:b/>
        </w:rPr>
        <w:t xml:space="preserve">Quelle: </w:t>
      </w:r>
      <w:r>
        <w:t>https://mcp.opencaselaw.ch/entscheid/ge_gerichte_A_1502_2024</w:t>
      </w:r>
    </w:p>
    <w:p>
      <w:r>
        <w:t>FR: GE_GERICHTE A/1502/2024 du 6 août 2024</w:t>
      </w:r>
    </w:p>
    <w:p>
      <w:r>
        <w:t>IT: GE_GERICHTE A/1502/2024 del 6 agosto 2024</w:t>
      </w:r>
    </w:p>
    <w:p>
      <w:pPr>
        <w:pStyle w:val="Heading2"/>
      </w:pPr>
      <w:r>
        <w:t>Erwägungen</w:t>
      </w:r>
    </w:p>
    <w:p>
      <w:r>
        <w:rPr>
          <w:b/>
        </w:rPr>
        <w:t>E. 2</w:t>
      </w:r>
    </w:p>
    <w:p>
      <w:r>
        <w:t>Le recourant se réfère, comme moyens de preuve, à son audition et à celle de B______.</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rPr>
          <w:b/>
        </w:rPr>
        <w:t>E. 2.2</w:t>
      </w:r>
    </w:p>
    <w:p>
      <w:r>
        <w:t>En l’espèce, le recourant pu exposer son point de vue et ses arguments dans son recours et sa réplique. Il n’explique pas quels éléments utiles autres que ceux déjà exposés son audition permettrait d’apporter à la solution du litige. L’audition du témoin est invoquée pour prouver que les prix de location des AUADP étaient exorbitants avant l’adoption de la loi et qu’ils dépassaient ses moyens. Or, ces éléments, même s’ils étaient établis, ne modifieraient pas l’issue du litige, comme cela sera exposé ci-dessous. Par ailleurs, les éléments qui figurent d’ores et déjà au dossier permettent à la chambre administrative de statuer en toute connaissance de cause. Il ne sera donc pas procédé à l’audition du recourant et du témoin.</w:t>
      </w:r>
    </w:p>
    <w:p>
      <w:r>
        <w:rPr>
          <w:b/>
        </w:rPr>
        <w:t>E. 3</w:t>
      </w:r>
    </w:p>
    <w:p>
      <w:r>
        <w:t>Le litige porte sur le bien-fondé du refus d’entrer en matière du PCTN sur la nouvelle requête d’AUDAP déposée par le recourant en octobre 2023.</w:t>
      </w:r>
    </w:p>
    <w:p>
      <w:r>
        <w:rPr>
          <w:b/>
        </w:rPr>
        <w:t>E. 3.1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w:t>
      </w:r>
    </w:p>
    <w:p>
      <w:r>
        <w:rPr>
          <w:b/>
        </w:rPr>
        <w:t>E. 3.2</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ATA/512/2024 du 23 avril 2024 consid 3.2 ; ATA/651/2023 précité consid. 4.1 in fine).</w:t>
      </w:r>
    </w:p>
    <w:p>
      <w:r>
        <w:rPr>
          <w:b/>
        </w:rPr>
        <w:t>E. 3.3</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 Manuel de droit administratif, 2 e éd., 2018, n. 1417).</w:t>
      </w:r>
    </w:p>
    <w:p>
      <w:r>
        <w:rPr>
          <w:b/>
        </w:rPr>
        <w:t>E. 3.4</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3.5</w:t>
      </w:r>
    </w:p>
    <w:p>
      <w:r>
        <w:t>En l’espèce, aucune condition permettant d’entrer en matière sur la demande de reconsidération n’est remplie. En effet, aucun fait nouveau pertinent n’est intervenu. Certes, le 6 octobre 2023, le PCTN a invité les chauffeurs de taxi ayant été titulaires d’une AUADP le 28 janvier 2022 à déposer une nouvelle requête d’AUADP, précisant qu’il n’était plus nécessaire – comme cela ressortait de la jurisprudence de la chambre administrative – d’en avoir détenu une le 26 février 2020. Si, en tant que telle, cette communication constitue un fait nouveau, ce fait n’était pas de nature à influer l'état de fait ou les bases juridiques sur lesquels l'autorité a fondé sa décision dont la remise en cause était requise. En effet, la décision du 13 janvier 2023 était fondée sur l’absence de titularité d’une AUADP le 28 janvier 2022. Dans son arrêt du 30 mai 2023, la chambre de céans a confirmé que pour bénéficier du régime transitoire prévu par l’art. 46 al. 13 LTVTC, l’intéressé devait avoir été titulaire d’une AUADP le 28 janvier 2022. Par ailleurs, le recourant ne peut pas non plus être suivi lorsqu’il allègue que son nouveau grief relatif au cas de rigueur auquel devait être assimilé son impossibilité de détenir une AUADP le 28 janvier 2022 constituait un motif de reconsidération. D’une part, la procédure de reconsidération ne peut être utilisée pour remettre en cause une décision entrée en force pour obtenir l’examen de griefs que l’administré a omis de faire valoir. Par ailleurs, la chambre de céans avait, dans son arrêt du 30 mai 2023, précisé qu’il ne pouvait être tenu compte des circonstances ayant empêché le recourant d’être au bénéfice d’une AUADP entre août 2020 et juillet 2022. La disposition transitoire ne prévoyait pas qu’il soit tenu compte de telles circonstances pour exonérer un requérant des conditions posées pour pouvoir continuer à bénéficier d’une AUADP. Accorder une telle exception au recourant irait à l’encontre du texte de la loi. Ainsi, ni le motif invoqué à la base de la demande de reconsidération du 6 octobre 2023 ni ceux invoqués ultérieurement ne remplissent les conditions de l'art. 48 al. 1 LPA. Partant, le PCTN était fondé à ne pas entrer en matière sur la demande de reconsidération.</w:t>
      </w:r>
    </w:p>
    <w:p>
      <w:r>
        <w:rPr>
          <w:b/>
        </w:rPr>
        <w:t>E. 4</w:t>
      </w:r>
    </w:p>
    <w:p>
      <w:r>
        <w:t>Pour le surplus et à titre superfétatoire, il faut constater avec le PCTN que même si celui-ci était entré en matière sur la demande de reconsidération, elle aurait dû être rejetée.</w:t>
      </w:r>
    </w:p>
    <w:p>
      <w:r>
        <w:rPr>
          <w:b/>
        </w:rPr>
        <w:t>E. 4.1</w:t>
      </w:r>
    </w:p>
    <w:p>
      <w:r>
        <w:t>En effet, comme la chambre de céans l’a précisé, notamment dans l’arrêt du 30 mai 2023 concernant le recourant ( ATA/564/2023 ), seuls les utilisateurs effectifs d’une AUADP au moment de l’adoption de la loi le 28 janvier 2022 – ce qui n’est pas le cas du recourant – pouvaient bénéficier du renouvellement facilité de leur AUADP au sens de l’art. 46 al. 13 LTVTC ( ATA/779/2023 du 18 juillet 2023 consid. 5.6.2 ; ATA/886/2023 du 22 août 2023 consid. 6.6). Le Tribunal fédéral (arrêt 2C_690/2023 du 4 juin 2024) a confirmé la compatibilité de l’art. 46 al. 13 LTVTC avec les principes de non‑rétroactivité des lois et de proportionnalité en lien avec la liberté économique.</w:t>
      </w:r>
    </w:p>
    <w:p>
      <w:r>
        <w:rPr>
          <w:b/>
        </w:rPr>
        <w:t>E. 4.2</w:t>
      </w:r>
    </w:p>
    <w:p>
      <w:r>
        <w:t>Le recourant invoque un « cas de rigueur » l’ayant empêché de disposer d’une AUADP à cette date. Il conviendrait d’admettre que les chauffeurs de taxis ayant disposé d’une AUADP lors de l’entrée en vigueur de la LTVTC puissent également bénéficier du régime transitoire permettant un renouvellement facilité de celle-ci. À rigueur de texte, l’art. 46 al. 13 LTVTC ne prévoit pas la possibilité d’invoquer des motifs d’empêchement à la location d’une AUADP. Il ressort des travaux parlementaires que l’objectif du régime transitoire en faveur des locataires des AUADP était « de donner la priorité aux utilisateurs effectifs et de mettre fin au bail à ferme » (rapport de la commission parlementaire des transports du 11 janvier 2022 au sujet du projet de loi n° 12'649 sur les taxis et les voitures de transport avec chauffeur, déposé par le Conseil d’État devant le Grand Conseil le 26 février 2020 [ci-après : Rapport B], p. 40). Il s’agissait d’un « aspect social » afin de clarifier rapidement leur situation puisqu’ils dépendaient encore de leur bailleur à qui ils devaient payer la location. Le bailleur avait une obligation soit d’employer les chauffeurs locataires, soit de restituer les AUADP. Les représentants du département signalaient aussi l’existence d’une disposition transitoire permettant « au département d’attribuer l’AUADP restituée à la personne qui l’exploitait effectivement, soit au locataire. Cette clause évit[ait] que le locataire ne perde son outil de travail lorsque l’AUADP [était] restituée par le bailleur » (p. 27 du Rapport B). L’idée était de prévoir un passage en douceur pour les personnes subissant des sacrifices trop importants du fait de la nouvelle réglementation. Or, dans le cas présent, le recourant n’était plus locataire d’une AUADP au moment de l’adoption de la loi puisque le contrat de bail avait pris fin le 31 août 2020. Ainsi, au moment de l’adoption le 28 janvier 2022 de la nouvelle loi, il ne se trouvait pas dans la situation dans laquelle sa relation par rapport à son bailleur devait être clarifiée et il ne courrait pas le risque de perdre son outil de travail en raison de la restitution par son bailleur de l’AUADP. Le recourant n’étant plus titulaire d’une AUADP au moment déterminant, il n’y a ainsi pas lieu de déroger à la réglementation prévue par l’art. 46 al. 13 LTVTC ( ATA/814/2024 du 9 juillet 2024 consid. 2.6 ; ATA/619/2024 du 21 mai 2024 consid. 4). Le recourant invoque la violation de la liberté économique et les principes constitutionnels applicables en droit public. La chambre administrative ne voit pas de raison de s’écarter de la jurisprudence de la chambre constitutionnelle et du Tribunal fédéral qui ont tranché ces questions, incluant l’examen du respect des principes de la proportionnalité, de l’interdiction de la non-rétroactivité des lois, de la protection de la bonne foi, de l’interdiction de l’arbitraire et de la préservation des droits acquis dans la nouvelle LTVTC et de son règlement d’application. Par ailleurs, la décision querellée ne consacre pas non plus une inégalité de traitement entre chauffeurs de taxis qui ont obtenu le renouvellement facilité de leur AUADP, selon l’art. 46 al. 13 LTVTC, et obtenu une nouvelle AUADP en raison du fait qu’ils figuraient en tête de la liste d’attente. En effet, la loi n’interdit nullement d’être titulaire de plusieurs AUADP. Ainsi, les chauffeurs de taxis qui en remplissent les conditions légales, peuvent se voir délivrer plusieurs AUADP. Pour le surplus, le recourant ne soutient pas que des chauffeurs de taxis ne disposant, comme lui, pas d’une AUADP le 28 janvier 2022 auraient néanmoins bénéficié d’un renouvellement facilité de leur AUADP obtenue postérieurement à cette date. L’on ne discerne ainsi pas d’inégalité de traitement entre chauffeurs de taxis se trouvant dans la même situation que le recourant. Enfin, la loi ne prévoit pas de clause permettant de déroger aux conditions d’octroi d’une AUADP telles que définies par la loi. La chambre de céans ne saurait, sous peine de violer la loi, admettre en l’espèce l’existence de critères non prévus par celle-ci pour octroyer au recourant l’AUADP convoitée. Au vu de ce qui précède, le recours, mal fondé, sera rejeté.</w:t>
      </w:r>
    </w:p>
    <w:p>
      <w:r>
        <w:rPr>
          <w:b/>
        </w:rPr>
        <w:t>E. 5</w:t>
      </w:r>
    </w:p>
    <w:p>
      <w:r>
        <w:t>Vu l’issue du litige,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