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A/1501/2023 vom 6. September 2023</w:t>
      </w:r>
    </w:p>
    <w:p>
      <w:r>
        <w:t>GE Cour de justice, 2023-09-06, FR</w:t>
      </w:r>
    </w:p>
    <w:p>
      <w:r>
        <w:rPr>
          <w:b/>
        </w:rPr>
        <w:t xml:space="preserve">Quelle: </w:t>
      </w:r>
      <w:r>
        <w:t>https://mcp.opencaselaw.ch/entscheid/ge_gerichte_A_1501_2023</w:t>
      </w:r>
    </w:p>
    <w:p>
      <w:r>
        <w:t>FR: GE_GERICHTE A/1501/2023 du 6 septembre 2023</w:t>
      </w:r>
    </w:p>
    <w:p>
      <w:r>
        <w:t>IT: GE_GERICHTE A/1501/2023 del 6 settembre 2023</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 er novembre 2012.![endif]&gt;![if&gt; Sa compétence pour juger du cas d’espèce est ainsi établie.</w:t>
      </w:r>
    </w:p>
    <w:p>
      <w:r>
        <w:rPr>
          <w:b/>
        </w:rPr>
        <w:t>E. 2</w:t>
      </w:r>
    </w:p>
    <w:p>
      <w:r>
        <w:t>Selon l’art. 1A al. 2 LPCC, les PCFam sont régies par les dispositions figurant aux titres IIA et III de la LPCC, les dispositions de la loi fédérale sur les prestations complémentaires à l’AVS et à l’AI du 6 octobre 2006 (loi sur les prestations complémentaires ; LPC ‑ RS 831.30) – auxquelles la LPCC renvoie expressément –, les dispositions d'exécution de la loi fédérale désignées par règlement du Conseil d'État et la loi fédérale sur la partie générale du droit des assurances sociales du 6 octobre 2000 (LPGA - RS 830).![endif]&gt;![if&gt;</w:t>
      </w:r>
    </w:p>
    <w:p>
      <w:r>
        <w:rPr>
          <w:b/>
        </w:rPr>
        <w:t>E. 3</w:t>
      </w:r>
    </w:p>
    <w:p>
      <w:r>
        <w:t>Interjeté dans les forme et délai prévus par la loi, le recours est recevable ( cf . art. 62 al. 1 de la loi sur la procédure administrative du 12 septembre 1985 [LPA - E 5 10] ; art. 43 LPCC). ![endif]&gt;![if&gt;</w:t>
      </w:r>
    </w:p>
    <w:p>
      <w:r>
        <w:rPr>
          <w:b/>
        </w:rPr>
        <w:t>E. 4</w:t>
      </w:r>
    </w:p>
    <w:p>
      <w:r>
        <w:t>Le litige porte sur le bien-fondé de la demande en restitution formulée par l’intimé, plus particulièrement sur le calcul du droit de la recourante aux PCFam pour la période du 1 er septembre 2022 au 28 février 2023 et le montant de la contribution d’entretien retenu pour son fils cadet B______, durant cette période, étant précisé que, suite aux explications détaillées sur la prise en compte d’un revenu hypothétique, mentionnées en page deux de la décision querellée, la recourante n’a pas repris ce grief au niveau de son recours. ![endif]&gt;![if&gt;</w:t>
      </w:r>
    </w:p>
    <w:p>
      <w:r>
        <w:rPr>
          <w:b/>
        </w:rPr>
        <w:t>E. 5</w:t>
      </w:r>
    </w:p>
    <w:p>
      <w:r>
        <w:t>![endif]&gt;![if&gt;</w:t>
      </w:r>
    </w:p>
    <w:p>
      <w:r>
        <w:rPr>
          <w:b/>
        </w:rPr>
        <w:t>E. 5.1</w:t>
      </w:r>
    </w:p>
    <w:p>
      <w:r>
        <w:t>La couverture des besoins vitaux en matière d'assurance-vieillesse et survivants et d'invalidité est une tâche incombant conjointement à la Confédération et aux cantons (art. 112a de la Constitution fédérale de la Confédération suisse du 18 avril 1999 [Cst. - RS 101]). Ce principe se trouve concrétisé par l'art. 2 al. 1 LPC,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LPC).![endif]&gt;![if&gt; L'art. 2 al. 2 phr. 1 LPC prévoit que les cantons peuvent allouer des prestations allant au-delà de celles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de cotisations patronales (Michel VALTERIO, Commentaire de la loi fédérale sur les prestations complémentaires à l'AVS et à l'AI, 2015, n. 1 ss ad art. 2).</w:t>
      </w:r>
    </w:p>
    <w:p>
      <w:r>
        <w:rPr>
          <w:b/>
        </w:rPr>
        <w:t>E. 5.2</w:t>
      </w:r>
    </w:p>
    <w:p>
      <w:r>
        <w:t>Le canton de Genève prévoit deux types de telles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le cas échéant prétendre au versement de prestations complémentaires cantonales pour les familles, appelées PCFam (art. 1 al. 2 et 36A à 36I LPCC ; ATAS/994/2014 du 9 septembre 2014 ; ATAS/955/2014 du 25 août 2014).![endif]&gt;![if&gt;</w:t>
      </w:r>
    </w:p>
    <w:p>
      <w:r>
        <w:rPr>
          <w:b/>
        </w:rPr>
        <w:t>E. 5.3</w:t>
      </w:r>
    </w:p>
    <w:p>
      <w:r>
        <w:t>Les PCFam sont régies par les dispositions figurant aux titres IIA et III de la LPCC, les dispositions de la loi fédérale auxquelles la LPCC renvoie expressément, les dispositions d'exécution de la loi fédérale désignées par règlement du Conseil d'État de Genève, le règlement relatif aux prestations complémentaires familiales du 27 juin 2012 (RPCFam - J 4 25.04), ainsi que par la LPGA et ses dispositions d'exécution (art. 1A al. 2 LPCC).![endif]&gt;![if&gt;</w:t>
      </w:r>
    </w:p>
    <w:p>
      <w:r>
        <w:rPr>
          <w:b/>
        </w:rPr>
        <w:t>E. 5.4</w:t>
      </w:r>
    </w:p>
    <w:p>
      <w:r>
        <w:t>Selon l'art. 36A al. 1 LPCC, ont droit aux PCFam les personnes qui, cumulativement : ont leur domicile et leur résidence habituelle à Genève depuis cinq ans au moins au moment du dépôt de la demande de prestations (let. a), vivent en ménage commun avec des enfants de moins de 18 ans – respectivement 25 ans si l'enfant poursuit une formation donnant droit à une allocation de formation professionnelle (let. b) –, exercent une activité lucrative salariée (let. c), ne font pas l'objet d'une taxation d'office par l'administration fiscale cantonale – le Conseil d'État définissant les exceptions (let. d) – et répondent aux autres conditions prévues par la loi (let. e).![endif]&gt;![if&gt; En vertu de l'art. 36D al. 1 LPCC, le montant annuel des prestations complémentaires familiales correspond à la part des dépenses reconnues au sens de l'art. 36F qui excède le revenu déterminant au sens de l'art. 36E, mais ne doit pas dépasser le montant prévu à l’art. 15 al. 2. Selon l’art. 23 al. 1 RPCFam, sont déterminants pour la fixation de la prestation complémentaire annuelle : a) les revenus provenant de l'exercice d'une activité lucrative obtenus au cours de l'année civile précédente, ou les revenus probables convertis en revenu annuel ; b) les prestations périodiques en cours, telles que les allocations de logement, les allocations familiales, les bourses d'études et autres aides financières destinées à l'instruction, les pensions alimentaires et contributions d'entretien ; c) l'état de la fortune au 1 er janvier de l'année pour laquelle la prestation est versée. Pour les ayants droits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(art. 23 al. 2 RPCFam).</w:t>
      </w:r>
    </w:p>
    <w:p>
      <w:r>
        <w:rPr>
          <w:b/>
        </w:rPr>
        <w:t>E. 6</w:t>
      </w:r>
    </w:p>
    <w:p>
      <w:r>
        <w:t>Au plan cantonal, l'art. 24 al. 1 1 ère phr.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2).![endif]&gt;![if&gt;</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w:t>
      </w:r>
    </w:p>
    <w:p>
      <w:r>
        <w:rPr>
          <w:b/>
        </w:rPr>
        <w:t>E. 8</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U 344 p. 418 consid. 3).![endif]&gt;![if&gt;</w:t>
      </w:r>
    </w:p>
    <w:p>
      <w:r>
        <w:rPr>
          <w:b/>
        </w:rPr>
        <w:t>E. 9</w:t>
      </w:r>
    </w:p>
    <w:p>
      <w:r>
        <w:t>En l'espèce, lors du calcul des PCFam, le SPC a retenu dans sa décision querellée le montant correspondant à une contribution d’entretien potentielle annuelle de CHF 8'076.-, jusqu’au 1 er octobre 2022.![endif]&gt;![if&gt; La recourante critique la prise en compte de cette contribution dans la mesure où, selon elle, les parents ont convenu, en date du 26 avril 2023, que la convention de garde partagée prenait effet « dès le 1 er février 2022, malgré la date de signature ultérieure ».</w:t>
      </w:r>
    </w:p>
    <w:p>
      <w:r>
        <w:rPr>
          <w:b/>
        </w:rPr>
        <w:t>E. 9.1</w:t>
      </w:r>
    </w:p>
    <w:p>
      <w:r>
        <w:t>Il apparaît qu’une des raisons pour lesquelles la convention de garde partagée (ci-après : la Convention) a été conclue entre les parents vient du fait que « le père est actuellement à la recherche d’un emploi et perçoit des indemnités de l’assurance chômage » Ce fait est confirmé, non seulement par le texte de la Convention mais également par un courrier de l’intéressée au SPC, qui l’a reçu en date du 24 janvier 2023, et qui mentionne « et pour la pension alimentaire de mon fils B______, le père a fait une demande l’année dernier ( sic ) pour la garde partagée 50/50, puisque depuis septembre 2022 il est au chômage et veut aussi s’occuper de notre fils ». En l’absence de toute indication quant au moment où la Convention prendrait effet, il se justifie de se fonder sur la date de signature de la Convention, soit le 3 octobre 2022. La recourante ne peut pas être suivie quant à la portée de l’avenant du 26 avril 2023, tant il est évident que le père de l’enfant, qui n’était pas encore au chômage en février 2022, ne pouvait pas s’engager à une garde partagée en raison de son indisponibilité. Ce n’est qu’à partir du moment où il s’est retrouvé au chômage, au mois de septembre 2022 et donc disponible, dans une certaine mesure, pour s’occuper de son fils, que la Convention de garde alternée a pu être envisagée par les parents. Cette conclusion est confirmée par la déclaration de l’intéressée selon laquelle c’est depuis que le père est au chômage – soit depuis septembre 2022 - qu’il veut aussi s’occuper de son fils. Partant, la chambre de céans considère qu’il est établi, au degré de la vraisemblance prépondérante, que jusqu’à l’entrée en vigueur de la Convention de garde alternée, soit le 3 octobre 2022, le père de l’enfant B______ était débiteur d’une contribution d’entretien en faveur de son fils.</w:t>
      </w:r>
    </w:p>
    <w:p>
      <w:r>
        <w:rPr>
          <w:b/>
        </w:rPr>
        <w:t>E. 9.2</w:t>
      </w:r>
    </w:p>
    <w:p>
      <w:r>
        <w:t>Selon l’article 36E, al. 6 LPCC, lorsque l’ayant droit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S’agissant du montant de l’avance maximale, il est fixé par l’art. 2 al. 1 du règlement d’application de la loi sur l’avance et le recouvrement des pensions alimentaires du 2 juin 1986 (RARPA - E 1 25.01) qui précise que le montant de l’avance en faveur d’un enfant correspond à celui de la pension fixée par le jugement ou la convention, mais au maximum à CHF 673.- par mois et par enfant, soit CHF 8'706.- par an. C’est donc à juste titre que l’intimé a retenu ce montant pour calculer la contribution d’entretien due jusqu’au 3 octobre 2022.</w:t>
      </w:r>
    </w:p>
    <w:p>
      <w:r>
        <w:rPr>
          <w:b/>
        </w:rPr>
        <w:t>E. 10</w:t>
      </w:r>
    </w:p>
    <w:p>
      <w:r>
        <w:t>Compte tenu de ce qui précède, la chambre de céans n’a d’autre choix que de rejeter le recours. ![endif]&gt;![if&gt;</w:t>
      </w:r>
    </w:p>
    <w:p>
      <w:r>
        <w:rPr>
          <w:b/>
        </w:rPr>
        <w:t>E. 11</w:t>
      </w:r>
    </w:p>
    <w:p>
      <w:r>
        <w:t>Par ailleurs, concernant la demande de remise de rembourser le montant de CHF 4’746.-, mentionnée dans le recours, celle-ci est prématurée. La recourante a la possibilité, dans les 30 jours qui suivent l’entrée en force du présent arrêt, de déposer une demande de remise de son obligation de rembourser auprès du SPC et ceci pour autant que les conditions cumulatives de la bonne foi et d’une situation (financière) difficile soient réunies (art. 4 de l'ordonnance sur la partie générale du droit des assurances sociales du 11 septembre 2002 [OPGA - RS 830.11]).![endif]&gt;![if&gt;</w:t>
      </w:r>
    </w:p>
    <w:p>
      <w:r>
        <w:rPr>
          <w:b/>
        </w:rPr>
        <w:t>E. 12</w:t>
      </w:r>
    </w:p>
    <w:p>
      <w:r>
        <w:t>Pour le surplus, en l’absence de loi spéciale prévoyant des frais judiciaires, la procédure est gratuite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