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A/1501/2015 vom 17. November 2015</w:t>
      </w:r>
    </w:p>
    <w:p>
      <w:r>
        <w:t>GE Cour de justice, 2015-11-17, FR</w:t>
      </w:r>
    </w:p>
    <w:p>
      <w:r>
        <w:rPr>
          <w:b/>
        </w:rPr>
        <w:t xml:space="preserve">Quelle: </w:t>
      </w:r>
      <w:r>
        <w:t>https://mcp.opencaselaw.ch/entscheid/ge_gerichte_A_1501_2015</w:t>
      </w:r>
    </w:p>
    <w:p>
      <w:r>
        <w:t>FR: GE_GERICHTE A/1501/2015 du 17 novembre 2015</w:t>
      </w:r>
    </w:p>
    <w:p>
      <w:r>
        <w:t>IT: GE_GERICHTE A/1501/2015 del 17 novembre 2015</w:t>
      </w:r>
    </w:p>
    <w:p>
      <w:pPr>
        <w:pStyle w:val="Heading2"/>
      </w:pPr>
      <w:r>
        <w:t>Erwägungen</w:t>
      </w:r>
    </w:p>
    <w:p>
      <w:r>
        <w:rPr>
          <w:b/>
        </w:rPr>
        <w:t>E. 1</w:t>
      </w:r>
    </w:p>
    <w:p>
      <w:r>
        <w:t>L'assuré peut, moyennant un préavis de trois mois, changer d'assureur pour la fin d'un semestre d'une année civile.</w:t>
      </w:r>
    </w:p>
    <w:p>
      <w:r>
        <w:rPr>
          <w:b/>
        </w:rPr>
        <w:t>E. 2</w:t>
      </w:r>
    </w:p>
    <w:p>
      <w:r>
        <w:t>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 au moins deux mois à l'avance et signaler à l'assuré qu'il a le droit de changer d'assureur.</w:t>
      </w:r>
    </w:p>
    <w:p>
      <w:r>
        <w:rPr>
          <w:b/>
        </w:rPr>
        <w:t>E. 3</w:t>
      </w:r>
    </w:p>
    <w:p>
      <w:r>
        <w:t>Si l'assuré doit changer d'assureur parce qu'il change de résidence ou d'emploi, l'affiliation prend fin au moment du changement de résidence ou de la prise d'emploi auprès d'un nouvel employeur.</w:t>
      </w:r>
    </w:p>
    <w:p>
      <w:r>
        <w:rPr>
          <w:b/>
        </w:rPr>
        <w:t>E. 4</w:t>
      </w:r>
    </w:p>
    <w:p>
      <w:r>
        <w:t>L'affiliation prend fin avec le retrait de l'autorisation de pratiquer conformément à l'art. 13, lorsque l'assureur cesse, volontairement ou par décision administrative, de pratiquer l'assurance-maladie sociale.</w:t>
      </w:r>
    </w:p>
    <w:p>
      <w:r>
        <w:rPr>
          <w:b/>
        </w:rPr>
        <w:t>E. 5</w:t>
      </w:r>
    </w:p>
    <w:p>
      <w:r>
        <w:t>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w:t>
      </w:r>
    </w:p>
    <w:p>
      <w:r>
        <w:rPr>
          <w:b/>
        </w:rPr>
        <w:t>E. 6</w:t>
      </w:r>
    </w:p>
    <w:p>
      <w:r>
        <w:t>Lorsque le changement d'assureur est impossible du fait de l'ancien assureur, celui-ci doit réparer le dommage qui en résulte pour l'assuré, en particulier la différence de prime.</w:t>
      </w:r>
    </w:p>
    <w:p>
      <w:r>
        <w:rPr>
          <w:b/>
        </w:rPr>
        <w:t>E. 7</w:t>
      </w:r>
    </w:p>
    <w:p>
      <w:r>
        <w:t>Lorsque l'assuré change d'assureur, l'ancien assureur ne peut le contraindre à résilier également les assurances complémentaires au sens de l'art. 12 conclues auprès de lui.</w:t>
      </w:r>
    </w:p>
    <w:p>
      <w:r>
        <w:rPr>
          <w:b/>
        </w:rPr>
        <w:t>E. 8</w:t>
      </w:r>
    </w:p>
    <w:p>
      <w:r>
        <w:t>L'assureur ne peut pas résilier les assurances complémentaires au sens de l'art. 12 au seul motif que l'assuré change d'assureur pour l'assurance-maladie sociale ». L'art. 7 LAMal règle les conditions auxquelles un assuré peut changer d'assureur. Par sa nature et ses effets, la possibilité de changer d'assureur prévue à l'art. 7 LAMal s'apparente à une résiliation. La jurisprudence distingue la résiliation ordinaire, intervenant dans les trois mois précédant la fin d'un semestre d'année civile (art. 7 al. 1 LAMal), de la résiliation extraordinaire, qui peut intervenir dans des délais plus courts (ATF 126 V 480 consid. 2c; 124 V 333 consid. 2a et 2b). En dérogation à l’art. 7 LAMal, qui fixe les conditions de résiliation, l'art. 64a al. 6 LAMal limite le droit de l’assuré de changer d'assurance lorsqu'il est en retard de payer intégralement les primes et les participations aux coûts arriérées ainsi que les intérêts moratoires et les frais de poursuite. En d'autres termes, tant qu'un assuré n'est pas à jour avec ses paiements à l'égard de son assurance-maladie, il ne peut changer d'assureur. Enfin, en toute hypothèse, l’affiliation auprès de l’ancien assureur ne prend fin que lorsque le nouvel assureur lui a communiqué qu’il assure l’intéressé sans interruption d’assurance (art. 7 al. 5 LaMal). 8.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 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![endif]&gt;![if&gt; 9.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RKUV 2004 Nr. KV 274 S. 129 E. 4.2.1, K 107/02 ; arrêt du Tribunal fédéral 9C_903/2009 du 11 décembre 2009 consid. 2.1).![endif]&gt;![if&gt; Selon l'art. 105b OAMal, en vigueur depuis le 1er août 2007,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ne prend pas effet (à l'inverse de celle prévue à l'art. 64a al. 4 LAMal). A l'instar de l'ancien art. 90 al. 4, l'art. 105b al. 1 et 2 OAMal vise en effet à empêcher que les assureurs ne tardent trop avant d'entreprendre les démarches nécessaires au recouvrement des primes dues (Arrêt du Tribunal fédéral 9C_397/2008 du 29 septembre 2008 ; EUGSTER, Krankenversicherung, in: Schweizerisches Bundesverwaltungsrecht [SBVR], Soziale Sicherheit, 2ème éd. 2007, p. 747, n. 1028). 10.    Conformément à l’art. 105a OAMal, les intérêts moratoires pour les primes échues selon l’art. 26 al. 1 LPGA s’élève à 5% par année. Au surplus, l'assureur maladie peut réclamer le paiement dans une mesure appropriée des frais de sommation et des frais supplémentaires causés par le retard de l'assuré (ATF 125 V 276).![endif]&gt;![if&gt; 11.    En l’espèce, il est constant que l'intéressée, domiciliée en Suisse, est soumise à l’assurance obligatoire conformément à l’art. 3 al. 1 LAMal. ![endif]&gt;![if&gt; 12.    Elle était affiliée auprès de CONCORDIA pour l’assurance obligatoire des soins. Elle a résilié cette assurance avec effet au 31 décembre 2013. ![endif]&gt;![if&gt; Le 29 octobre 2013, elle a signé une proposition d’assurance auprès de la CSS. Elle allègue toutefois que par téléphone du 28 novembre 2013, elle a fait part à la CSS de son intention d’annuler son assurance, ce dont une collaboratrice de la CSS a pris note. Elle précise à cet égard qu’elle n’a alors pas pensé à faire cette démarche par écrit. Le 20 décembre 2013, elle a signé une proposition d’assurance auprès d’ASSURA. Selon la CSS, la collaboratrice a compris lors de ce téléphone que l’intéressée voulait finalement maintenir son assurance de base chez CONCORDIA. Elle lui a alors effectivement confirmé que dans ces conditions, elle annulerait l’affiliation à la CSS. La CSS considère par ailleurs que l’affiliation auprès d’ASSURA à compter du 1 er janvier 2014 ne peut être qu’annulée, étant postérieure à celle déposée auprès de la CSS. 13.    La couverture d’assurance débute par une demande d’affiliation auprès d’un assureur au sens de la LAMal. La demande d’affiliation est un acte administratif soumis à réception, qui lie l’administré à partir de la réception de la demande par l’assureur (Ulrich MEYER, Schweizerisches Bundesverwaltungsrecht, Sozial Sicherheit, 2ème édition, p. 407, n° 20). ![endif]&gt;![if&gt; La CSS a reçu la demande d’affiliation de l’intéressée le 1 er novembre 2013. Elle en a dûment informé CONCORDIA le 14 novembre 2013, en sa qualité de nouvel assureur et conformément à l’art. 7 al. 5 LAMal, de sorte que le changement d’assurance était conforme à l’art. 7 LAMal. Il est difficile de déterminer ce qui s’est précisément dit lors de cet entretien téléphonique du 28 novembre 2013, vu les déclarations contradictoires des parties. Selon la CSS en effet, l’intéressée aurait expliqué qu’elle souhaitait finalement maintenir son assurance auprès de CONCORDIA. Selon l’intéressée, l’annulation auprès de la CSS a été purement et simplement admise. Il y a toutefois lieu de constater que le 10 janvier 2014, la CSS, comprenant que l’intéressée entendait résilier son assurance auprès d’elle et retourner auprès de CONCORDIA, a demandé la production d’une attestation à cette dernière sur la base de l’art. 7 al. 5 LAMal. Or, l’intéressée lui a transmis le 24 février 2014 une attestation d’ASSURA. Il y a lieu de rappeler que lorsque l’intéressée a informé la CSS le 28 novembre 2013 de son intention de résilier son contrat, celle-ci avait déjà communiqué à CONCORDIA, l’ancien assureur, l’attestation d’assurance, de sorte qu’une révocation ne pouvait plus sans autre intervenir (ATF 9C_930/2010 ). Dans la mesure où la loi sur l'assurance-maladie (art. 7 LAMal) exclut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(ATF 128 V 269 consid. 3b ; arrêt K 155/0 4 ; voir également Ariane Ayer/Béatrice Despland, Loi fédérale sur l'assurance-maladie, édition annotée, Genève 2004, p. 59 avec un renvoi à un jugement du Tribunal des assurances du canton de Thurgovie publié dans TVR 1999 p.165). En l’occurrence, l’intéressée a communiqué à la CSS une attestation d’ASSURA le 24 février 2014, valable dès le 1 er janvier 2014. On se trouve dès lors face à une double affiliation, étant rappelé que le rapport d'assurance auprès du nouvel assureur peut seulement débuter lorsque l'ancien prend fin (ATF 130 V 448 ). En présence d’une double affiliation, l’affiliation qui a été réceptionnée en premier lieu est valable (Ulrich MEYER, op. cit., p. 408, n° 22). C’est ainsi l’affiliation auprès de la CSS qui est maintenue. L’intéressée ne pouvait pas ignorer qu’elle était assurée auprès de la CSS, puisque le décompte de primes pour janvier 2014 lui a été adressé par la CSS le 14 décembre 2013. Ce n’est qu’après avoir signé la proposition d’assurance auprès d’ASSURA le 20 décembre 2013, qu’elle s’est inquiétée du paiement de la prime de janvier 2014 auprès de la CSS. 14.    L’intéressée allègue avoir été incapable de discernement, lorsqu’elle a signé le contrat avec la CSS, et produit des rapports médicaux à cet égard.![endif]&gt;![if&gt; 15.    Est capable de discernement au sens du droit civil celui qui a la faculté d'agir raisonnablement (art. 16 CC).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p. 239; 124 III 5 consid. 1a p. 8; 117 II 231 consid. 2a p. 232).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118 Ia 236 consid. 2b in fine p. 238). Les corollaires de la relativité sont les suivants: les aptitudes requises diffèrent selon la nature et l'importance de l'acte en cause (ATF 117 II 231 consid. 2a). Ainsi, une même personne peut avoir la faculté d'agir raisonnablement pour certains actes et pas pour d'autres (WERRO/SCHMIDLIN, Commentaire romand, CC I, ad art. 16, n. 52). Les facultés doivent également exister au moment de l'acte considéré (ATF 117 II 231 consid. 2a; ATF 108 V 121 consid. 4b). Même si l'incapacité existait avant ou après le moment en question, il faudra en déduire l'état mental de la personne au moment déterminant (ATF 117 II 231 consid. 2a). ![endif]&gt;![if&gt;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L'altération de la faculté d'agir raisonnablement doit reposer sur une des causes mentionnées de manière exhaustive à l'art. 16 CC (WERRO/SCHMIDLIN, Commentaire romand, CC I, ad art. 16, n. 23). Par maladie mentale, il faut entendre des troubles psychiques durables et caractérisés, ayant sur le comportement extérieur du sujet des conséquences évidentes, qualitativement et profondément déconcertantes pour un profane averti (ATF 117 II 231 consid. 2a in fine p. 233/234; 85 II 452 consid. 3a p. 460; 62 II 263 p. 264). La faiblesse d'esprit décrit un développement insuffisant de l'intelligence et de la force de jugement, dont résulteraient un manque de compréhension important - en particulier par rapport à de nouvelles tâches et des situations de vie inhabituelles - ainsi qu'une propension élevée à être influencé (WERRO/SCHMIDLIN, op. cit., ad. art. 16, n. 39).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(ATF 134 II 235 consid. 4.3.3 p. 240 et les références).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l'application de l'une ou l'autre des deux règles dégagées par la jurisprudence relève du droit et le Tribunal fédéral la revoit librement (ATF 124 III 5 consid. 4; 117 II 231 consid. 2c). 16.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 17.    En l’espèce, l’intéressée a produit deux certificats établis par le Dr B______ les 23 mai 2014 et 23 février 2015, selon lesquels elle « n’a pas pu travailler de manière continue suite à l’accident du 15 juin 2013 dû à des cervicalgies » et « a présenté dans les suites de cet accident d’importantes douleurs cervicales, troubles du sommeil, ainsi qu’un épuisement certain. Cet état l’a empêchée de fournir un travail adéquat durant les mois qui ont suivi, celle-ci a même été au bénéfice d’un arrêt de travail de longue durée pour cette raison ».![endif]&gt;![if&gt; L’intéressée a également transmis à la CSS un témoignage écrit de son compagnon. Celui-ci atteste de ce qu’elle « était incapable de discerner la portée du contrat qu’elle a signé avec vous », précisant que « jusqu’à la fin de l’année 2013, l’intéressée avait ses capacités mentales réduites au plus bas possible. Elle avait de conséquents oublis sur la vie quotidienne, elle ne mémorisait plus rien, cherchait ses mots et était incapable de faire un raisonnement. C’est comme si elle avait été physiquement présente mais mentalement absente. Elle était incapable de travailler et les interactions sociales n’étaient pas possible en dehors des personnes qui venaient lui rendre de courtes visites. Tout bruit était insupportable pour elle. Il n’était pas possible qu’elle aère une pièce avec les bruits des travaux ou des enfants qui jouent ». Même si la chambre de céans n’entend pas minimiser la gravité des atteintes de l’intéressée, force est de constater qu’un arrêt de travail, même à 100%, ne constitue pas en soi un motif valable de restitution de délai, à moins qu’il ne soit démontré que l’intéressée aurait été privée de toute capacité de discernement. 18.    Il y a ainsi lieu d’apprécier la capacité de discernement de l’intéressée pour signer le 29 octobre 2013 une proposition d’assurance. Cette capacité aurait été altérée selon elle, en raison des suites d’un accident (commotion cérébrale et entorse cervicale) dont elle a été victime le 15 juin 2013. Elle n’aurait ainsi eu ni la capacité d’apprécier le sens, l’opportunité et les effets de la conclusion du contrat d’assurance, d’une part, ni la faculté d’agir en fonction de cette compréhension raisonnable, selon sa libre volonté, d’autre part. ![endif]&gt;![if&gt; Aucun des deux certificats du Dr B______ ne fait cependant état de troubles psychiques qui auraient privé l’intéressée de sa capacité d’apprécier ce qu’elle faisait et de la faculté d’agir raisonnablement. Le médecin fait certes état « d’importantes douleurs cervicales, troubles du sommeil, ainsi qu’un épuisement certain ». Ces troubles n’évoquent cependant pas l’existence d’une maladie mentale propre à faire douter de la capacité de discernement de l’intéressée en relation avec l’acte en cause (signature d’une proposition d’assurance). Les explications de son compagnon ne suffisent pas non plus à mettre en doute sa capacité de discernement pour conclure un contrat d’assurance. Rien ne l’obligeait du reste à signer ce jour-là précisément une proposition d’assurance. Il y a par ailleurs lieu de constater que le 28 novembre 2013, elle a téléphoné à la CSS dans le but d’annuler son contrat, et a signé une nouvelle proposition d’assurance le 20 décembre 2013, ce qui viendrait à démontrer qu'elle était parfaitement capable de comprendre sa situation à l'égard de ces institutions et, en fonction de cette compréhension, de décider ce qu'elle voulait faire, alors que selon son compagnon, elle avait « ses capacités mentales réduites » jusqu’à la fin de l’année. Aussi y a-t-il lieu de conclure que l’intéressée était parfaitement capable de discernement lorsqu’elle a signé la proposition d’assurance, capacité de discernement au demeurant présumée. 19.    Il résulte des pièces du dossier que l’intéressée ne s’est pas acquittée du montant des primes de janvier à juin 2014, malgré rappels et sommations. Par conséquent, l’assureur avait non seulement le droit, mais aussi le devoir de tout mettre en œuvre pour faire valoir ses prétentions par la voie de la poursuite.![endif]&gt;![if&gt; 20.    S’agissant des frais de rappel et de mise en demeure, il suffit de rappeler qu’ils sont prévus par l’art. 105b al. 3 OAMal, selon lequel lorsque l’assuré a causé par sa faute des dépenses qui auraient pu être évitées par un paiement en temps opportun, la CSS peut percevoir dans une mesure appropriée des frais administratifs, si une telle mesure est prévue par les conditions générales sur les droits et les obligations de l’assuré. Tel est le cas en l’espèce. La perception d’un intérêt de 5% par année est quant à elle prévue à l’art. 26 al. 2 LPGA. Enfin, l’art. 68 al. 1 de la loi sur la poursuite pour dettes et la faillite du 11 avril 1889 (LP ; RS 281.1) prévoit expressément que les frais de poursuite sont à la charge du débiteur, même si le créancier en fait l’avance.![endif]&gt;![if&gt; 21.    Il sied de rappeler que selon les conditions d’assurance applicables, les primes doivent être payées à l’avance et sont échues le premier de chaque mois, et si la prime n’est pas payée, un rappel est adressé à l’assuré, puis des poursuites sont engagées.![endif]&gt;![if&gt; Force est de constater que la CSS a agi conformément aux dispositions de la LPGA et de ses conditions d’assurance. Il y a par ailleurs lieu de rappeler qu’aucune transaction ne peut intervenir lorsqu’il s’agit du paiement de primes. 22.    L’intéressée conteste le montant dont le paiement lui est réclamé, lequel ne tient pas compte du subside versé par le Service d’assurance-maladie, des primes déjà versées à ASSURA, et du remboursement des primes d’assurance-maladie qui a eu lieu en 2014 dans toute la Suisse.![endif]&gt;![if&gt; Le SAM a confirmé à la chambre de céans le 9 novembre 2015 que l’intéressée avait droit aux subsides d’assurance-maladie pour l’année 2014, de sorte qu’il conviendra d’en tenir compte dans le calcul du montant dû par l’intéressée. Le remboursement des primes dont le montant a été fixé par l’Office fédéral de la santé publique (OFSP) et n’intervenant que dans le courant de l’année 2015, ne peut en revanche être pris en considération dans le cadre du présent litige. 23.    Dès lors que l’intéressée ne s’est pas acquittée des primes dues, la CSS est fondée à lui en réclamer le paiement, ainsi que des frais et intérêts moratoires par la voie de la poursuite, et à lever son opposition au commandement de payer, conformément aux dispositions légales et à la jurisprudence susmentionnées, sous déduction toutefois des subsides de l’assurance-maladie.![endif]&gt;![if&gt; 24.    Aussi les recours sont-ils partiellement admis.![endif]&gt;![if&gt; PAR CES MOTIFS, LA CHAMBRE DES ASSURANCES SOCIALES : Statuant A la forme : 1.        Déclare les recours recevables.![endif]&gt;![if&gt; Au fond : 2.        Les admet partiellement.![endif]&gt;![if&gt; 3.        Confirme les décisions des 24 mars et 7 avril 2015, sous réserve de la prise en considération du subside auquel a droit l’intéressée pour l’année 2014.![endif]&gt;![if&gt; 4.        Lève partiellement l'opposition aux commandements de payer, poursuite n os 1______ et  2______, à concurrence respectivement de CHF 733.95, plus intérêts de 5% l’an d’intérêts moratoires dès le 1 er mars 2014 et frais administratifs de CHF 100.-, et de CHF 733.95, plus intérêts de 5% l’an d’intérêts moratoires dès le 31 mai 2014 et frais administratifs de CHF 100.-, le subside d’assurance-maladie 2014 devant être déduit.![endif]&gt;![if&gt; 5.        Dit que les poursuites n os 1______ et 2______ iront leur voie, sous déduction du subside d’assurance-maladie 2014. ![endif]&gt;![if&gt; 6.        Dit que la procédure est gratuite.![endif]&gt;![if&gt;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